
<file path=[Content_Types].xml><?xml version="1.0" encoding="utf-8"?>
<Types xmlns="http://schemas.openxmlformats.org/package/2006/content-types">
  <Default Extension="xml" ContentType="application/xml"/>
  <Default Extension="xlsx" ContentType="application/vnd.openxmlformats-officedocument.spreadsheetml.sheet"/>
  <Default Extension="tiff" ContentType="image/tiff"/>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4DD73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194F36B">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1A4B17A8">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 xml:space="preserve"> </w:t>
            </w:r>
            <w:r>
              <w:rPr>
                <w:rFonts w:ascii="黑体" w:hAnsi="黑体" w:eastAsia="黑体"/>
                <w:sz w:val="21"/>
                <w:szCs w:val="21"/>
              </w:rPr>
              <w:fldChar w:fldCharType="end"/>
            </w:r>
            <w:bookmarkEnd w:id="0"/>
          </w:p>
        </w:tc>
      </w:tr>
      <w:tr w14:paraId="39CED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523FB1F">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6065BB49">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点击此处添加CCS号</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241315CC">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4F023E0B">
            <w:pPr>
              <w:pStyle w:val="49"/>
              <w:framePr w:w="0" w:hRule="auto" w:wrap="auto" w:vAnchor="margin" w:hAnchor="text" w:xAlign="left" w:yAlign="inline"/>
              <w:rPr>
                <w:rFonts w:hint="eastAsia"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14:paraId="0B37F8DF">
      <w:pPr>
        <w:pStyle w:val="50"/>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7D533A9B">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32/T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t>2023</w:t>
      </w:r>
      <w:r>
        <w:fldChar w:fldCharType="end"/>
      </w:r>
      <w:bookmarkEnd w:id="7"/>
    </w:p>
    <w:p w14:paraId="7CFC43F7">
      <w:pPr>
        <w:pStyle w:val="196"/>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74C85E14">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5CE0F24">
      <w:pPr>
        <w:pStyle w:val="50"/>
        <w:framePr w:w="9639" w:h="6976" w:hRule="exact" w:hSpace="0" w:vSpace="0" w:wrap="around" w:hAnchor="page" w:y="6408"/>
        <w:jc w:val="center"/>
        <w:rPr>
          <w:rFonts w:hint="eastAsia" w:ascii="黑体" w:hAnsi="黑体" w:eastAsia="黑体"/>
          <w:b w:val="0"/>
          <w:bCs w:val="0"/>
          <w:w w:val="100"/>
        </w:rPr>
      </w:pPr>
    </w:p>
    <w:p w14:paraId="7F437EE0">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金属内胆碳纤维全缠绕储氢气瓶的无损检测及在线监测方法</w:t>
      </w:r>
    </w:p>
    <w:p w14:paraId="44ED2C8C">
      <w:pPr>
        <w:pStyle w:val="197"/>
        <w:framePr w:h="6974" w:hRule="exact" w:wrap="around" w:x="1419" w:anchorLock="1"/>
        <w:rPr>
          <w:rFonts w:hint="eastAsia"/>
        </w:rPr>
      </w:pPr>
      <w:r>
        <w:fldChar w:fldCharType="end"/>
      </w:r>
      <w:bookmarkEnd w:id="9"/>
    </w:p>
    <w:p w14:paraId="59D2C469">
      <w:pPr>
        <w:framePr w:w="9639" w:h="6974" w:hRule="exact" w:wrap="around" w:vAnchor="page" w:hAnchor="page" w:x="1419" w:y="6408" w:anchorLock="1"/>
        <w:ind w:left="-1418"/>
      </w:pPr>
    </w:p>
    <w:p w14:paraId="05C5C9EA">
      <w:pPr>
        <w:pStyle w:val="125"/>
        <w:framePr w:w="9639" w:h="6974" w:hRule="exact" w:wrap="around" w:vAnchor="page" w:hAnchor="page" w:x="1419" w:y="6408" w:anchorLock="1"/>
        <w:textAlignment w:val="bottom"/>
        <w:rPr>
          <w:rFonts w:hint="eastAsia"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Gas cylinders - NDE and online monitoring methods</w:t>
      </w:r>
    </w:p>
    <w:p w14:paraId="0FDFBA5A">
      <w:pPr>
        <w:pStyle w:val="125"/>
        <w:framePr w:w="9639" w:h="6974" w:hRule="exact" w:wrap="around" w:vAnchor="page" w:hAnchor="page" w:x="1419" w:y="6408" w:anchorLock="1"/>
        <w:textAlignment w:val="bottom"/>
        <w:rPr>
          <w:rFonts w:hint="eastAsia" w:ascii="黑体" w:hAnsi="黑体" w:eastAsia="黑体"/>
          <w:szCs w:val="28"/>
        </w:rPr>
      </w:pPr>
      <w:r>
        <w:rPr>
          <w:rFonts w:ascii="黑体" w:hAnsi="黑体" w:eastAsia="黑体"/>
          <w:szCs w:val="28"/>
        </w:rPr>
        <w:t>(Fully wrapped fibre reinforced composite gas cylinders with non-load-sharing metallic liners)</w:t>
      </w:r>
    </w:p>
    <w:p w14:paraId="14FCC5D8">
      <w:pPr>
        <w:pStyle w:val="125"/>
        <w:framePr w:w="9639" w:h="6974" w:hRule="exact" w:wrap="around" w:vAnchor="page" w:hAnchor="page" w:x="1419" w:y="6408" w:anchorLock="1"/>
        <w:textAlignment w:val="bottom"/>
        <w:rPr>
          <w:rFonts w:hint="eastAsia" w:ascii="黑体" w:hAnsi="黑体" w:eastAsia="黑体"/>
          <w:szCs w:val="28"/>
        </w:rPr>
      </w:pPr>
      <w:r>
        <w:rPr>
          <w:rFonts w:ascii="黑体" w:hAnsi="黑体" w:eastAsia="黑体"/>
          <w:szCs w:val="28"/>
        </w:rPr>
        <w:fldChar w:fldCharType="end"/>
      </w:r>
      <w:bookmarkEnd w:id="10"/>
    </w:p>
    <w:p w14:paraId="403EBD52">
      <w:pPr>
        <w:framePr w:w="9639" w:h="6974" w:hRule="exact" w:wrap="around" w:vAnchor="page" w:hAnchor="page" w:x="1419" w:y="6408" w:anchorLock="1"/>
        <w:spacing w:line="760" w:lineRule="exact"/>
        <w:ind w:left="-1418"/>
      </w:pPr>
    </w:p>
    <w:p w14:paraId="41F1C210">
      <w:pPr>
        <w:pStyle w:val="125"/>
        <w:framePr w:w="9639" w:h="6974" w:hRule="exact" w:wrap="around" w:vAnchor="page" w:hAnchor="page" w:x="1419" w:y="6408" w:anchorLock="1"/>
        <w:textAlignment w:val="bottom"/>
        <w:rPr>
          <w:rFonts w:eastAsia="黑体"/>
          <w:szCs w:val="28"/>
        </w:rPr>
      </w:pPr>
    </w:p>
    <w:p w14:paraId="72AEC064">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 "/>
              <w:listEntry w:val="草案版次选择"/>
              <w:listEntry w:val="（工作组讨论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3517C1B4">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6B6ED627">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161A861D">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202</w:t>
      </w:r>
      <w:r>
        <w:rPr>
          <w:rFonts w:hint="eastAsia" w:ascii="黑体"/>
        </w:rPr>
        <w:t>4</w:t>
      </w:r>
      <w:r>
        <w:rPr>
          <w:rFonts w:ascii="黑体"/>
        </w:rPr>
        <w:fldChar w:fldCharType="end"/>
      </w:r>
      <w:bookmarkEnd w:id="14"/>
      <w:r>
        <w:t xml:space="preserve"> </w:t>
      </w:r>
      <w:r>
        <w:rPr>
          <w:rFonts w:ascii="黑体"/>
        </w:rPr>
        <w:t>-</w:t>
      </w:r>
      <w:r>
        <w:t xml:space="preserve"> </w:t>
      </w:r>
      <w:r>
        <w:rPr>
          <w:rFonts w:hint="eastAsia" w:ascii="黑体"/>
        </w:rPr>
        <w:t>XX</w:t>
      </w:r>
      <w:r>
        <w:t xml:space="preserve"> </w:t>
      </w:r>
      <w:r>
        <w:rPr>
          <w:rFonts w:ascii="黑体"/>
        </w:rPr>
        <w:t>-</w:t>
      </w:r>
      <w:r>
        <w:t xml:space="preserve"> </w:t>
      </w:r>
      <w:r>
        <w:rPr>
          <w:rFonts w:hint="eastAsia" w:ascii="黑体"/>
        </w:rPr>
        <w:t>XX</w:t>
      </w:r>
      <w:r>
        <w:rPr>
          <w:rFonts w:hint="eastAsia"/>
        </w:rPr>
        <w:t>发布</w:t>
      </w:r>
    </w:p>
    <w:p w14:paraId="1297C866">
      <w:pPr>
        <w:pStyle w:val="194"/>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fldChar w:fldCharType="separate"/>
      </w:r>
      <w:r>
        <w:rPr>
          <w:rFonts w:ascii="黑体"/>
        </w:rPr>
        <w:t>202</w:t>
      </w:r>
      <w:r>
        <w:rPr>
          <w:rFonts w:hint="eastAsia" w:ascii="黑体"/>
        </w:rPr>
        <w:t>4</w:t>
      </w:r>
      <w:r>
        <w:rPr>
          <w:rFonts w:ascii="黑体"/>
        </w:rPr>
        <w:fldChar w:fldCharType="end"/>
      </w:r>
      <w:bookmarkEnd w:id="15"/>
      <w:r>
        <w:t xml:space="preserve"> </w:t>
      </w:r>
      <w:r>
        <w:rPr>
          <w:rFonts w:ascii="黑体"/>
        </w:rPr>
        <w:t>-</w:t>
      </w:r>
      <w:r>
        <w:t xml:space="preserve"> </w:t>
      </w:r>
      <w:r>
        <w:rPr>
          <w:rFonts w:hint="eastAsia" w:ascii="黑体"/>
        </w:rPr>
        <w:t>XX</w:t>
      </w:r>
      <w:r>
        <w:t xml:space="preserve"> </w:t>
      </w:r>
      <w:r>
        <w:rPr>
          <w:rFonts w:ascii="黑体"/>
        </w:rPr>
        <w:t>-</w:t>
      </w:r>
      <w:r>
        <w:t xml:space="preserve"> </w:t>
      </w:r>
      <w:r>
        <w:rPr>
          <w:rFonts w:hint="eastAsia" w:ascii="黑体"/>
        </w:rPr>
        <w:t>XX</w:t>
      </w:r>
      <w:r>
        <w:rPr>
          <w:rFonts w:hint="eastAsia"/>
        </w:rPr>
        <w:t>实施</w:t>
      </w:r>
    </w:p>
    <w:p w14:paraId="63EFBDEE">
      <w:pPr>
        <w:pStyle w:val="151"/>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16" w:name="fm"/>
      <w:r>
        <w:rPr>
          <w:rFonts w:hAnsi="黑体"/>
          <w:w w:val="100"/>
          <w:sz w:val="28"/>
        </w:rPr>
        <w:instrText xml:space="preserve"> FORMTEXT </w:instrText>
      </w:r>
      <w:r>
        <w:rPr>
          <w:rFonts w:hAnsi="黑体"/>
          <w:w w:val="100"/>
          <w:sz w:val="28"/>
        </w:rPr>
        <w:fldChar w:fldCharType="separate"/>
      </w:r>
      <w:r>
        <w:rPr>
          <w:rFonts w:hint="eastAsia" w:hAnsi="黑体"/>
          <w:w w:val="100"/>
          <w:sz w:val="28"/>
        </w:rPr>
        <w:t>江苏省市场监督管理局</w:t>
      </w:r>
      <w:r>
        <w:rPr>
          <w:rFonts w:hAnsi="黑体"/>
          <w:w w:val="100"/>
          <w:sz w:val="28"/>
        </w:rPr>
        <w:fldChar w:fldCharType="end"/>
      </w:r>
      <w:bookmarkEnd w:id="16"/>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7EAA7B43">
      <w:pPr>
        <w:rPr>
          <w:rFonts w:hint="eastAsia" w:ascii="宋体" w:hAnsi="宋体"/>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1312"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1312;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A2B5C97">
      <w:pPr>
        <w:pStyle w:val="91"/>
        <w:spacing w:after="468"/>
      </w:pPr>
      <w:bookmarkStart w:id="17" w:name="BookMark1"/>
      <w:bookmarkStart w:id="18" w:name="_Toc127892270"/>
      <w:bookmarkStart w:id="19" w:name="_Toc127892256"/>
      <w:r>
        <w:rPr>
          <w:rFonts w:hint="eastAsia"/>
          <w:spacing w:val="320"/>
        </w:rPr>
        <w:t>目</w:t>
      </w:r>
      <w:r>
        <w:rPr>
          <w:rFonts w:hint="eastAsia"/>
        </w:rPr>
        <w:t>次</w:t>
      </w:r>
    </w:p>
    <w:p w14:paraId="5C8BE6FE">
      <w:pPr>
        <w:pStyle w:val="19"/>
        <w:tabs>
          <w:tab w:val="right" w:leader="dot" w:pos="9344"/>
        </w:tabs>
        <w:rPr>
          <w:rFonts w:hint="eastAsia" w:asciiTheme="minorHAnsi" w:hAnsiTheme="minorHAnsi" w:eastAsiaTheme="minorEastAsia" w:cstheme="minorBidi"/>
          <w:szCs w:val="22"/>
        </w:rPr>
      </w:pPr>
      <w:r>
        <w:fldChar w:fldCharType="begin"/>
      </w:r>
      <w:r>
        <w:instrText xml:space="preserve"> TOC \o "1-1" \h </w:instrText>
      </w:r>
      <w:r>
        <w:fldChar w:fldCharType="separate"/>
      </w:r>
      <w:r>
        <w:fldChar w:fldCharType="begin"/>
      </w:r>
      <w:r>
        <w:instrText xml:space="preserve"> HYPERLINK \l "_Toc129620116" </w:instrText>
      </w:r>
      <w:r>
        <w:fldChar w:fldCharType="separate"/>
      </w:r>
      <w:r>
        <w:rPr>
          <w:rStyle w:val="32"/>
        </w:rPr>
        <w:t>前言</w:t>
      </w:r>
      <w:r>
        <w:tab/>
      </w:r>
      <w:r>
        <w:fldChar w:fldCharType="begin"/>
      </w:r>
      <w:r>
        <w:instrText xml:space="preserve"> PAGEREF _Toc129620116 \h </w:instrText>
      </w:r>
      <w:r>
        <w:fldChar w:fldCharType="separate"/>
      </w:r>
      <w:r>
        <w:t>II</w:t>
      </w:r>
      <w:r>
        <w:fldChar w:fldCharType="end"/>
      </w:r>
      <w:r>
        <w:fldChar w:fldCharType="end"/>
      </w:r>
    </w:p>
    <w:p w14:paraId="7E298BD1">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"_Toc129620117" </w:instrText>
      </w:r>
      <w:r>
        <w:fldChar w:fldCharType="separate"/>
      </w:r>
      <w:r>
        <w:rPr>
          <w:rStyle w:val="32"/>
        </w:rPr>
        <w:t>1  范围</w:t>
      </w:r>
      <w:r>
        <w:tab/>
      </w:r>
      <w:r>
        <w:fldChar w:fldCharType="begin"/>
      </w:r>
      <w:r>
        <w:instrText xml:space="preserve"> PAGEREF _Toc129620117 \h </w:instrText>
      </w:r>
      <w:r>
        <w:fldChar w:fldCharType="separate"/>
      </w:r>
      <w:r>
        <w:t>3</w:t>
      </w:r>
      <w:r>
        <w:fldChar w:fldCharType="end"/>
      </w:r>
      <w:r>
        <w:fldChar w:fldCharType="end"/>
      </w:r>
    </w:p>
    <w:p w14:paraId="1AE5C032">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"_Toc129620118" </w:instrText>
      </w:r>
      <w:r>
        <w:fldChar w:fldCharType="separate"/>
      </w:r>
      <w:r>
        <w:rPr>
          <w:rStyle w:val="32"/>
        </w:rPr>
        <w:t>2  规范性引用文件</w:t>
      </w:r>
      <w:r>
        <w:tab/>
      </w:r>
      <w:r>
        <w:fldChar w:fldCharType="begin"/>
      </w:r>
      <w:r>
        <w:instrText xml:space="preserve"> PAGEREF _Toc129620118 \h </w:instrText>
      </w:r>
      <w:r>
        <w:fldChar w:fldCharType="separate"/>
      </w:r>
      <w:r>
        <w:t>3</w:t>
      </w:r>
      <w:r>
        <w:fldChar w:fldCharType="end"/>
      </w:r>
      <w:r>
        <w:fldChar w:fldCharType="end"/>
      </w:r>
    </w:p>
    <w:p w14:paraId="7B0B0DF6">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"_Toc129620119" </w:instrText>
      </w:r>
      <w:r>
        <w:fldChar w:fldCharType="separate"/>
      </w:r>
      <w:r>
        <w:rPr>
          <w:rStyle w:val="32"/>
        </w:rPr>
        <w:t>3  术语和定义</w:t>
      </w:r>
      <w:r>
        <w:tab/>
      </w:r>
      <w:r>
        <w:fldChar w:fldCharType="begin"/>
      </w:r>
      <w:r>
        <w:instrText xml:space="preserve"> PAGEREF _Toc129620119 \h </w:instrText>
      </w:r>
      <w:r>
        <w:fldChar w:fldCharType="separate"/>
      </w:r>
      <w:r>
        <w:t>3</w:t>
      </w:r>
      <w:r>
        <w:fldChar w:fldCharType="end"/>
      </w:r>
      <w:r>
        <w:fldChar w:fldCharType="end"/>
      </w:r>
    </w:p>
    <w:p w14:paraId="7223815D">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"_Toc129620120" </w:instrText>
      </w:r>
      <w:r>
        <w:fldChar w:fldCharType="separate"/>
      </w:r>
      <w:r>
        <w:rPr>
          <w:rStyle w:val="32"/>
        </w:rPr>
        <w:t>4  总体要求</w:t>
      </w:r>
      <w:r>
        <w:tab/>
      </w:r>
      <w:r>
        <w:fldChar w:fldCharType="begin"/>
      </w:r>
      <w:r>
        <w:instrText xml:space="preserve"> PAGEREF _Toc129620120 \h </w:instrText>
      </w:r>
      <w:r>
        <w:fldChar w:fldCharType="separate"/>
      </w:r>
      <w:r>
        <w:t>4</w:t>
      </w:r>
      <w:r>
        <w:fldChar w:fldCharType="end"/>
      </w:r>
      <w:r>
        <w:fldChar w:fldCharType="end"/>
      </w:r>
    </w:p>
    <w:p w14:paraId="5726B54F">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"_Toc129620121" </w:instrText>
      </w:r>
      <w:r>
        <w:fldChar w:fldCharType="separate"/>
      </w:r>
      <w:r>
        <w:rPr>
          <w:rStyle w:val="32"/>
        </w:rPr>
        <w:t>5  各无损检测方法和使用原则</w:t>
      </w:r>
      <w:r>
        <w:tab/>
      </w:r>
      <w:r>
        <w:fldChar w:fldCharType="begin"/>
      </w:r>
      <w:r>
        <w:instrText xml:space="preserve"> PAGEREF _Toc129620121 \h </w:instrText>
      </w:r>
      <w:r>
        <w:fldChar w:fldCharType="separate"/>
      </w:r>
      <w:r>
        <w:t>5</w:t>
      </w:r>
      <w:r>
        <w:fldChar w:fldCharType="end"/>
      </w:r>
      <w:r>
        <w:fldChar w:fldCharType="end"/>
      </w:r>
    </w:p>
    <w:p w14:paraId="03068087">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"_Toc129620122" </w:instrText>
      </w:r>
      <w:r>
        <w:fldChar w:fldCharType="separate"/>
      </w:r>
      <w:r>
        <w:rPr>
          <w:rStyle w:val="32"/>
        </w:rPr>
        <w:t>6  无损检测质量管理和安全防护</w:t>
      </w:r>
      <w:r>
        <w:tab/>
      </w:r>
      <w:r>
        <w:fldChar w:fldCharType="begin"/>
      </w:r>
      <w:r>
        <w:instrText xml:space="preserve"> PAGEREF _Toc129620122 \h </w:instrText>
      </w:r>
      <w:r>
        <w:fldChar w:fldCharType="separate"/>
      </w:r>
      <w:r>
        <w:t>7</w:t>
      </w:r>
      <w:r>
        <w:fldChar w:fldCharType="end"/>
      </w:r>
      <w:r>
        <w:fldChar w:fldCharType="end"/>
      </w:r>
    </w:p>
    <w:p w14:paraId="2B7D72F1">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"_Toc129620123" </w:instrText>
      </w:r>
      <w:r>
        <w:fldChar w:fldCharType="separate"/>
      </w:r>
      <w:r>
        <w:rPr>
          <w:rStyle w:val="32"/>
        </w:rPr>
        <w:t>7  无损检测资料和档案</w:t>
      </w:r>
      <w:r>
        <w:tab/>
      </w:r>
      <w:r>
        <w:fldChar w:fldCharType="begin"/>
      </w:r>
      <w:r>
        <w:instrText xml:space="preserve"> PAGEREF _Toc129620123 \h </w:instrText>
      </w:r>
      <w:r>
        <w:fldChar w:fldCharType="separate"/>
      </w:r>
      <w:r>
        <w:t>7</w:t>
      </w:r>
      <w:r>
        <w:fldChar w:fldCharType="end"/>
      </w:r>
      <w:r>
        <w:fldChar w:fldCharType="end"/>
      </w:r>
    </w:p>
    <w:p w14:paraId="06AF4E5D">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"_Toc129620124" </w:instrText>
      </w:r>
      <w:r>
        <w:fldChar w:fldCharType="separate"/>
      </w:r>
      <w:r>
        <w:rPr>
          <w:rStyle w:val="32"/>
        </w:rPr>
        <w:t>8  健康监测</w:t>
      </w:r>
      <w:r>
        <w:tab/>
      </w:r>
      <w:r>
        <w:fldChar w:fldCharType="begin"/>
      </w:r>
      <w:r>
        <w:instrText xml:space="preserve"> PAGEREF _Toc129620124 \h </w:instrText>
      </w:r>
      <w:r>
        <w:fldChar w:fldCharType="separate"/>
      </w:r>
      <w:r>
        <w:t>8</w:t>
      </w:r>
      <w:r>
        <w:fldChar w:fldCharType="end"/>
      </w:r>
      <w:r>
        <w:fldChar w:fldCharType="end"/>
      </w:r>
    </w:p>
    <w:p w14:paraId="0E5E02DB">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"_Toc129620125" </w:instrText>
      </w:r>
      <w:r>
        <w:fldChar w:fldCharType="separate"/>
      </w:r>
      <w:r>
        <w:rPr>
          <w:rStyle w:val="32"/>
        </w:rPr>
        <w:t>附录A（规范性）  目视检测</w:t>
      </w:r>
      <w:r>
        <w:tab/>
      </w:r>
      <w:r>
        <w:fldChar w:fldCharType="begin"/>
      </w:r>
      <w:r>
        <w:instrText xml:space="preserve"> PAGEREF _Toc129620125 \h </w:instrText>
      </w:r>
      <w:r>
        <w:fldChar w:fldCharType="separate"/>
      </w:r>
      <w:r>
        <w:t>9</w:t>
      </w:r>
      <w:r>
        <w:fldChar w:fldCharType="end"/>
      </w:r>
      <w:r>
        <w:fldChar w:fldCharType="end"/>
      </w:r>
    </w:p>
    <w:p w14:paraId="47A04075">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"_Toc129620126" </w:instrText>
      </w:r>
      <w:r>
        <w:fldChar w:fldCharType="separate"/>
      </w:r>
      <w:r>
        <w:rPr>
          <w:rStyle w:val="32"/>
        </w:rPr>
        <w:t>附录B（规范性）  阵列涡流检测</w:t>
      </w:r>
      <w:r>
        <w:tab/>
      </w:r>
      <w:r>
        <w:fldChar w:fldCharType="begin"/>
      </w:r>
      <w:r>
        <w:instrText xml:space="preserve"> PAGEREF _Toc129620126 \h </w:instrText>
      </w:r>
      <w:r>
        <w:fldChar w:fldCharType="separate"/>
      </w:r>
      <w:r>
        <w:t>14</w:t>
      </w:r>
      <w:r>
        <w:fldChar w:fldCharType="end"/>
      </w:r>
      <w:r>
        <w:fldChar w:fldCharType="end"/>
      </w:r>
    </w:p>
    <w:p w14:paraId="69D5AB7B">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"_Toc129620127" </w:instrText>
      </w:r>
      <w:r>
        <w:fldChar w:fldCharType="separate"/>
      </w:r>
      <w:r>
        <w:rPr>
          <w:rStyle w:val="32"/>
        </w:rPr>
        <w:t>附录C（规范性）  模态声发射检测</w:t>
      </w:r>
      <w:r>
        <w:tab/>
      </w:r>
      <w:r>
        <w:fldChar w:fldCharType="begin"/>
      </w:r>
      <w:r>
        <w:instrText xml:space="preserve"> PAGEREF _Toc129620127 \h </w:instrText>
      </w:r>
      <w:r>
        <w:fldChar w:fldCharType="separate"/>
      </w:r>
      <w:r>
        <w:t>19</w:t>
      </w:r>
      <w:r>
        <w:fldChar w:fldCharType="end"/>
      </w:r>
      <w:r>
        <w:fldChar w:fldCharType="end"/>
      </w:r>
    </w:p>
    <w:p w14:paraId="45208BDD">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"_Toc129620128" </w:instrText>
      </w:r>
      <w:r>
        <w:fldChar w:fldCharType="separate"/>
      </w:r>
      <w:r>
        <w:rPr>
          <w:rStyle w:val="32"/>
        </w:rPr>
        <w:t>附录D（规范性）  多物理场红外热成像检测</w:t>
      </w:r>
      <w:r>
        <w:tab/>
      </w:r>
      <w:r>
        <w:fldChar w:fldCharType="begin"/>
      </w:r>
      <w:r>
        <w:instrText xml:space="preserve"> PAGEREF _Toc129620128 \h </w:instrText>
      </w:r>
      <w:r>
        <w:fldChar w:fldCharType="separate"/>
      </w:r>
      <w:r>
        <w:t>24</w:t>
      </w:r>
      <w:r>
        <w:fldChar w:fldCharType="end"/>
      </w:r>
      <w:r>
        <w:fldChar w:fldCharType="end"/>
      </w:r>
    </w:p>
    <w:p w14:paraId="0CA272A2">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"_Toc129620129" </w:instrText>
      </w:r>
      <w:r>
        <w:fldChar w:fldCharType="separate"/>
      </w:r>
      <w:r>
        <w:rPr>
          <w:rStyle w:val="32"/>
        </w:rPr>
        <w:t xml:space="preserve">附录E（规范性）  </w:t>
      </w:r>
      <w:r>
        <w:rPr>
          <w:rStyle w:val="32"/>
          <w:rFonts w:hint="eastAsia"/>
        </w:rPr>
        <w:t>编码激励的</w:t>
      </w:r>
      <w:r>
        <w:rPr>
          <w:rStyle w:val="32"/>
        </w:rPr>
        <w:t>相控阵超声检测</w:t>
      </w:r>
      <w:r>
        <w:tab/>
      </w:r>
      <w:r>
        <w:fldChar w:fldCharType="begin"/>
      </w:r>
      <w:r>
        <w:instrText xml:space="preserve"> PAGEREF _Toc129620129 \h </w:instrText>
      </w:r>
      <w:r>
        <w:fldChar w:fldCharType="separate"/>
      </w:r>
      <w:r>
        <w:t>31</w:t>
      </w:r>
      <w:r>
        <w:fldChar w:fldCharType="end"/>
      </w:r>
      <w:r>
        <w:fldChar w:fldCharType="end"/>
      </w:r>
    </w:p>
    <w:p w14:paraId="4F14600E">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"_Toc129620130" </w:instrText>
      </w:r>
      <w:r>
        <w:fldChar w:fldCharType="separate"/>
      </w:r>
      <w:r>
        <w:rPr>
          <w:rStyle w:val="32"/>
        </w:rPr>
        <w:t xml:space="preserve">附录F（规范性）  </w:t>
      </w:r>
      <w:bookmarkStart w:id="20" w:name="OLE_LINK9"/>
      <w:r>
        <w:rPr>
          <w:rStyle w:val="32"/>
        </w:rPr>
        <w:t>X射线数字成像</w:t>
      </w:r>
      <w:bookmarkEnd w:id="20"/>
      <w:r>
        <w:rPr>
          <w:rStyle w:val="32"/>
        </w:rPr>
        <w:t>检测</w:t>
      </w:r>
      <w:r>
        <w:tab/>
      </w:r>
      <w:r>
        <w:fldChar w:fldCharType="begin"/>
      </w:r>
      <w:r>
        <w:instrText xml:space="preserve"> PAGEREF _Toc129620130 \h </w:instrText>
      </w:r>
      <w:r>
        <w:fldChar w:fldCharType="separate"/>
      </w:r>
      <w:r>
        <w:t>38</w:t>
      </w:r>
      <w:r>
        <w:fldChar w:fldCharType="end"/>
      </w:r>
      <w:r>
        <w:fldChar w:fldCharType="end"/>
      </w:r>
    </w:p>
    <w:p w14:paraId="5BB5E38F">
      <w:pPr>
        <w:pStyle w:val="19"/>
        <w:tabs>
          <w:tab w:val="right" w:leader="dot" w:pos="9344"/>
        </w:tabs>
        <w:rPr>
          <w:rFonts w:hint="eastAsia" w:asciiTheme="minorHAnsi" w:hAnsiTheme="minorHAnsi" w:eastAsiaTheme="minorEastAsia" w:cstheme="minorBidi"/>
          <w:szCs w:val="22"/>
        </w:rPr>
      </w:pPr>
      <w:r>
        <w:fldChar w:fldCharType="begin"/>
      </w:r>
      <w:r>
        <w:instrText xml:space="preserve"> HYPERLINK \l "_Toc129620131" </w:instrText>
      </w:r>
      <w:r>
        <w:fldChar w:fldCharType="separate"/>
      </w:r>
      <w:r>
        <w:rPr>
          <w:rStyle w:val="32"/>
        </w:rPr>
        <w:t>附录G（规范性）  在线监测</w:t>
      </w:r>
      <w:r>
        <w:tab/>
      </w:r>
      <w:r>
        <w:fldChar w:fldCharType="begin"/>
      </w:r>
      <w:r>
        <w:instrText xml:space="preserve"> PAGEREF _Toc129620131 \h </w:instrText>
      </w:r>
      <w:r>
        <w:fldChar w:fldCharType="separate"/>
      </w:r>
      <w:r>
        <w:t>52</w:t>
      </w:r>
      <w:r>
        <w:fldChar w:fldCharType="end"/>
      </w:r>
      <w:r>
        <w:fldChar w:fldCharType="end"/>
      </w:r>
    </w:p>
    <w:p w14:paraId="38CF8172">
      <w:pPr>
        <w:pStyle w:val="91"/>
        <w:spacing w:after="468"/>
        <w:sectPr>
          <w:headerReference r:id="rId9" w:type="default"/>
          <w:footerReference r:id="rId11" w:type="default"/>
          <w:headerReference r:id="rId10"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17"/>
    <w:p w14:paraId="3532F5AF">
      <w:pPr>
        <w:pStyle w:val="89"/>
        <w:spacing w:before="900" w:after="468"/>
      </w:pPr>
      <w:bookmarkStart w:id="21" w:name="_Toc129620116"/>
      <w:bookmarkStart w:id="22" w:name="BookMark2"/>
      <w:r>
        <w:rPr>
          <w:spacing w:val="320"/>
        </w:rPr>
        <w:t>前</w:t>
      </w:r>
      <w:r>
        <w:t>言</w:t>
      </w:r>
      <w:bookmarkEnd w:id="18"/>
      <w:bookmarkEnd w:id="19"/>
      <w:bookmarkEnd w:id="21"/>
    </w:p>
    <w:p w14:paraId="7F080F51">
      <w:pPr>
        <w:pStyle w:val="56"/>
        <w:ind w:firstLine="420"/>
      </w:pPr>
      <w:r>
        <w:rPr>
          <w:rFonts w:hint="eastAsia"/>
        </w:rPr>
        <w:t>本文件按照GB/T 1.1—2020《标准化工作导则  第1部分：标准化文件的结构和起草规则》的规定起草。</w:t>
      </w:r>
    </w:p>
    <w:p w14:paraId="734080F9">
      <w:pPr>
        <w:pStyle w:val="56"/>
        <w:ind w:firstLine="420"/>
      </w:pPr>
      <w:r>
        <w:rPr>
          <w:rFonts w:hint="eastAsia"/>
        </w:rPr>
        <w:t>请注意本文件的某些内容可能涉及专利。本文件的发布机构不承担识别这些专利的责任。</w:t>
      </w:r>
    </w:p>
    <w:p w14:paraId="0CA0B5B0">
      <w:pPr>
        <w:pStyle w:val="56"/>
        <w:ind w:firstLine="420"/>
      </w:pPr>
      <w:r>
        <w:rPr>
          <w:rFonts w:hint="eastAsia"/>
        </w:rPr>
        <w:t>本标准DB</w:t>
      </w:r>
      <w:r>
        <w:t>32/</w:t>
      </w:r>
      <w:r>
        <w:rPr>
          <w:rFonts w:hint="eastAsia"/>
        </w:rPr>
        <w:t>T</w:t>
      </w:r>
      <w:r>
        <w:t xml:space="preserve"> </w:t>
      </w:r>
      <w:r>
        <w:rPr>
          <w:rFonts w:hint="eastAsia"/>
        </w:rPr>
        <w:t>XXXX《金属内胆碳纤维全缠绕储氢气瓶的无损检测及在线监测方法》，规范了储氢气瓶定期检验中常见的无损检测方法及检测方法。</w:t>
      </w:r>
    </w:p>
    <w:p w14:paraId="0C66E3B4">
      <w:pPr>
        <w:pStyle w:val="56"/>
        <w:ind w:firstLine="420"/>
      </w:pPr>
      <w:r>
        <w:rPr>
          <w:rFonts w:hint="eastAsia"/>
        </w:rPr>
        <w:t>本文件由江苏省</w:t>
      </w:r>
      <w:r>
        <w:rPr>
          <w:rFonts w:hint="eastAsia"/>
          <w:lang w:val="en-US" w:eastAsia="zh-CN"/>
        </w:rPr>
        <w:t>市场监督管理局</w:t>
      </w:r>
      <w:bookmarkStart w:id="208" w:name="_GoBack"/>
      <w:bookmarkEnd w:id="208"/>
      <w:r>
        <w:rPr>
          <w:rFonts w:hint="eastAsia"/>
        </w:rPr>
        <w:t>提出。</w:t>
      </w:r>
    </w:p>
    <w:p w14:paraId="623A1DCC">
      <w:pPr>
        <w:pStyle w:val="56"/>
        <w:ind w:firstLine="420"/>
      </w:pPr>
      <w:r>
        <w:rPr>
          <w:rFonts w:hint="eastAsia"/>
        </w:rPr>
        <w:t>本文件由江苏省特种设备安全检验与节能标准化技术委员会归口。</w:t>
      </w:r>
    </w:p>
    <w:p w14:paraId="6A95F7CB">
      <w:pPr>
        <w:pStyle w:val="56"/>
        <w:ind w:firstLine="420"/>
      </w:pPr>
      <w:r>
        <w:rPr>
          <w:rFonts w:hint="eastAsia"/>
        </w:rPr>
        <w:t>本文件起草单位：江苏省特种设备安全监督检验研究院、东南大学、南京航空航天大学、南京工业大学、南京林业大学</w:t>
      </w:r>
      <w:r>
        <w:rPr>
          <w:rFonts w:hint="eastAsia"/>
          <w:lang w:eastAsia="zh-CN"/>
        </w:rPr>
        <w:t>、</w:t>
      </w:r>
      <w:r>
        <w:rPr>
          <w:rFonts w:hint="eastAsia"/>
        </w:rPr>
        <w:t>南京华建检测技术有限公司、阿塔米智能装备（北京）有限公司</w:t>
      </w:r>
      <w:r>
        <w:rPr>
          <w:rFonts w:hint="eastAsia"/>
          <w:lang w:eastAsia="zh-CN"/>
        </w:rPr>
        <w:t>、江苏国富氢能技术装备股份有限公司、北京天创领南科技有限公司</w:t>
      </w:r>
      <w:r>
        <w:rPr>
          <w:rFonts w:hint="eastAsia"/>
        </w:rPr>
        <w:t>。</w:t>
      </w:r>
    </w:p>
    <w:p w14:paraId="16501B0A">
      <w:pPr>
        <w:pStyle w:val="56"/>
        <w:ind w:firstLine="420"/>
        <w:rPr>
          <w:rFonts w:hint="default" w:eastAsia="宋体"/>
          <w:lang w:val="en-US" w:eastAsia="zh-CN"/>
        </w:rPr>
      </w:pPr>
      <w:r>
        <w:rPr>
          <w:rFonts w:hint="eastAsia"/>
        </w:rPr>
        <w:t>本文件主要起草人：</w:t>
      </w:r>
      <w:r>
        <w:rPr>
          <w:rFonts w:hint="eastAsia"/>
          <w:lang w:val="en-US" w:eastAsia="zh-CN"/>
        </w:rPr>
        <w:t>郑凯、任毅、王晋、马向东、范高廷、俞燕萍、郑杨艳、王海涛、张卿、罗志涛、张辉、郭海兵、刘莹、朱永凯、王朝、江运喜、孔德连、丁小平、丁春雄、黄德海、胡斌定。</w:t>
      </w:r>
    </w:p>
    <w:p w14:paraId="1A29FE84">
      <w:pPr>
        <w:pStyle w:val="56"/>
        <w:ind w:firstLine="420"/>
      </w:pPr>
    </w:p>
    <w:p w14:paraId="406336AC">
      <w:pPr>
        <w:pStyle w:val="56"/>
        <w:ind w:firstLine="420"/>
        <w:sectPr>
          <w:pgSz w:w="11906" w:h="16838"/>
          <w:pgMar w:top="1928" w:right="1134" w:bottom="1134" w:left="1134" w:header="1418" w:footer="1134" w:gutter="284"/>
          <w:pgNumType w:fmt="upperRoman"/>
          <w:cols w:space="425" w:num="1"/>
          <w:formProt w:val="0"/>
          <w:docGrid w:type="lines" w:linePitch="312" w:charSpace="0"/>
        </w:sectPr>
      </w:pPr>
    </w:p>
    <w:bookmarkEnd w:id="22"/>
    <w:p w14:paraId="560F061B">
      <w:pPr>
        <w:spacing w:line="20" w:lineRule="exact"/>
        <w:rPr>
          <w:rFonts w:hint="eastAsia" w:ascii="黑体" w:hAnsi="黑体" w:eastAsia="黑体"/>
          <w:sz w:val="32"/>
          <w:szCs w:val="32"/>
        </w:rPr>
      </w:pPr>
      <w:bookmarkStart w:id="23" w:name="BookMark4"/>
    </w:p>
    <w:p w14:paraId="196A1C6B">
      <w:pPr>
        <w:spacing w:line="20" w:lineRule="exact"/>
        <w:jc w:val="center"/>
        <w:rPr>
          <w:rFonts w:hint="eastAsia" w:ascii="黑体" w:hAnsi="黑体" w:eastAsia="黑体"/>
          <w:sz w:val="32"/>
          <w:szCs w:val="32"/>
        </w:rPr>
      </w:pPr>
    </w:p>
    <w:sdt>
      <w:sdtPr>
        <w:tag w:val="NEW_STAND_NAME"/>
        <w:id w:val="595910757"/>
        <w:lock w:val="sdtLocked"/>
        <w:placeholder>
          <w:docPart w:val="D02561E58E8D4E28B159D5F69617D4E6"/>
        </w:placeholder>
      </w:sdtPr>
      <w:sdtContent>
        <w:p w14:paraId="67A7ED6A">
          <w:pPr>
            <w:pStyle w:val="177"/>
            <w:spacing w:before="3" w:beforeLines="1" w:after="686" w:afterLines="220"/>
            <w:rPr>
              <w:rFonts w:hint="eastAsia"/>
            </w:rPr>
          </w:pPr>
          <w:bookmarkStart w:id="24" w:name="OLE_LINK7"/>
          <w:bookmarkStart w:id="25" w:name="NEW_STAND_NAME"/>
          <w:r>
            <w:rPr>
              <w:rFonts w:hint="eastAsia"/>
            </w:rPr>
            <w:t>金属内胆碳纤维全缠绕储氢气瓶</w:t>
          </w:r>
          <w:bookmarkEnd w:id="24"/>
          <w:r>
            <w:rPr>
              <w:rFonts w:hint="eastAsia"/>
            </w:rPr>
            <w:t>的无损检测及在线监测方法</w:t>
          </w:r>
        </w:p>
      </w:sdtContent>
    </w:sdt>
    <w:bookmarkEnd w:id="25"/>
    <w:p w14:paraId="304BF591">
      <w:pPr>
        <w:pStyle w:val="104"/>
        <w:spacing w:before="312" w:after="312"/>
      </w:pPr>
      <w:bookmarkStart w:id="26" w:name="_Toc97191423"/>
      <w:bookmarkStart w:id="27" w:name="_Toc17233325"/>
      <w:bookmarkStart w:id="28" w:name="_Toc24884211"/>
      <w:bookmarkStart w:id="29" w:name="_Toc127887536"/>
      <w:bookmarkStart w:id="30" w:name="_Toc26648465"/>
      <w:bookmarkStart w:id="31" w:name="_Toc26986530"/>
      <w:bookmarkStart w:id="32" w:name="_Toc129620117"/>
      <w:bookmarkStart w:id="33" w:name="_Toc24884218"/>
      <w:bookmarkStart w:id="34" w:name="_Toc26718930"/>
      <w:bookmarkStart w:id="35" w:name="_Toc26986771"/>
      <w:bookmarkStart w:id="36" w:name="_Toc127892271"/>
      <w:bookmarkStart w:id="37" w:name="_Toc127892257"/>
      <w:bookmarkStart w:id="38" w:name="_Toc17233333"/>
      <w:r>
        <w:rPr>
          <w:rFonts w:hint="eastAsia"/>
        </w:rPr>
        <w:t>范围</w:t>
      </w:r>
      <w:bookmarkEnd w:id="26"/>
      <w:bookmarkEnd w:id="27"/>
      <w:bookmarkEnd w:id="28"/>
      <w:bookmarkEnd w:id="29"/>
      <w:bookmarkEnd w:id="30"/>
      <w:bookmarkEnd w:id="31"/>
      <w:bookmarkEnd w:id="32"/>
      <w:bookmarkEnd w:id="33"/>
      <w:bookmarkEnd w:id="34"/>
      <w:bookmarkEnd w:id="35"/>
      <w:bookmarkEnd w:id="36"/>
      <w:bookmarkEnd w:id="37"/>
      <w:bookmarkEnd w:id="38"/>
    </w:p>
    <w:p w14:paraId="6D189164">
      <w:pPr>
        <w:pStyle w:val="56"/>
        <w:ind w:firstLine="420"/>
      </w:pPr>
      <w:bookmarkStart w:id="39" w:name="_Toc17233334"/>
      <w:bookmarkStart w:id="40" w:name="_Toc24884212"/>
      <w:bookmarkStart w:id="41" w:name="_Toc26648466"/>
      <w:bookmarkStart w:id="42" w:name="_Toc24884219"/>
      <w:bookmarkStart w:id="43" w:name="_Toc17233326"/>
      <w:r>
        <w:rPr>
          <w:rFonts w:hint="eastAsia"/>
        </w:rPr>
        <w:t>本文件规定了车用压缩氢气金属内胆碳纤维全缠绕气瓶（以下简称储氢气瓶）的在制及定期检验中无损检测方法的选用要求，并提供了储氢气瓶健康在线监测的方法。</w:t>
      </w:r>
    </w:p>
    <w:p w14:paraId="628EA1BC">
      <w:pPr>
        <w:pStyle w:val="56"/>
        <w:ind w:firstLine="420"/>
        <w:rPr>
          <w:rFonts w:hint="eastAsia"/>
        </w:rPr>
      </w:pPr>
      <w:r>
        <w:rPr>
          <w:rFonts w:hint="eastAsia"/>
        </w:rPr>
        <w:t>本文件适用于公称工作压力不超过70MPa，公称水容积不大于450L，储存介质为压缩氢气、工作温度不低于-40℃且不高于85℃、固定在道路车辆上用作燃料箱的可重复充装气瓶。</w:t>
      </w:r>
    </w:p>
    <w:p w14:paraId="13C54CFE">
      <w:pPr>
        <w:widowControl w:val="0"/>
        <w:numPr>
          <w:ilvl w:val="0"/>
          <w:numId w:val="26"/>
        </w:numPr>
        <w:autoSpaceDE w:val="0"/>
        <w:autoSpaceDN w:val="0"/>
        <w:jc w:val="both"/>
        <w:rPr>
          <w:rFonts w:ascii="宋体" w:hAnsi="Times New Roman" w:eastAsia="宋体" w:cs="Times New Roman"/>
          <w:sz w:val="18"/>
          <w:szCs w:val="18"/>
          <w:lang w:val="en-US" w:eastAsia="zh-CN" w:bidi="ar-SA"/>
        </w:rPr>
      </w:pPr>
      <w:r>
        <w:rPr>
          <w:rFonts w:hint="eastAsia" w:ascii="宋体" w:hAnsi="Times New Roman" w:eastAsia="宋体" w:cs="Times New Roman"/>
          <w:sz w:val="18"/>
          <w:szCs w:val="18"/>
          <w:lang w:val="en-US" w:eastAsia="zh-CN" w:bidi="ar-SA"/>
        </w:rPr>
        <w:t>氢燃料电池城市轨道交通等供氢用气瓶可参考本文件进行无损检测及在线检测。</w:t>
      </w:r>
    </w:p>
    <w:p w14:paraId="2C061D47">
      <w:pPr>
        <w:widowControl w:val="0"/>
        <w:numPr>
          <w:ilvl w:val="0"/>
          <w:numId w:val="0"/>
        </w:numPr>
        <w:autoSpaceDE w:val="0"/>
        <w:autoSpaceDN w:val="0"/>
        <w:ind w:left="363" w:leftChars="0"/>
        <w:jc w:val="both"/>
        <w:rPr>
          <w:rFonts w:hint="eastAsia" w:ascii="宋体" w:hAnsi="Times New Roman" w:eastAsia="宋体" w:cs="Times New Roman"/>
          <w:sz w:val="18"/>
          <w:szCs w:val="18"/>
          <w:lang w:val="en-US" w:eastAsia="zh-CN" w:bidi="ar-SA"/>
        </w:rPr>
      </w:pPr>
    </w:p>
    <w:p w14:paraId="62E0EBE5">
      <w:pPr>
        <w:pStyle w:val="104"/>
        <w:spacing w:before="312" w:after="312"/>
      </w:pPr>
      <w:bookmarkStart w:id="44" w:name="_Toc127892258"/>
      <w:bookmarkStart w:id="45" w:name="_Toc127892272"/>
      <w:bookmarkStart w:id="46" w:name="_Toc26986531"/>
      <w:bookmarkStart w:id="47" w:name="_Toc129620118"/>
      <w:bookmarkStart w:id="48" w:name="_Toc97191424"/>
      <w:bookmarkStart w:id="49" w:name="_Toc127887537"/>
      <w:bookmarkStart w:id="50" w:name="_Toc26986772"/>
      <w:bookmarkStart w:id="51" w:name="_Toc26718931"/>
      <w:r>
        <w:rPr>
          <w:rFonts w:hint="eastAsia"/>
        </w:rPr>
        <w:t>规范性引用文件</w:t>
      </w:r>
      <w:bookmarkEnd w:id="39"/>
      <w:bookmarkEnd w:id="40"/>
      <w:bookmarkEnd w:id="41"/>
      <w:bookmarkEnd w:id="42"/>
      <w:bookmarkEnd w:id="43"/>
      <w:bookmarkEnd w:id="44"/>
      <w:bookmarkEnd w:id="45"/>
      <w:bookmarkEnd w:id="46"/>
      <w:bookmarkEnd w:id="47"/>
      <w:bookmarkEnd w:id="48"/>
      <w:bookmarkEnd w:id="49"/>
      <w:bookmarkEnd w:id="50"/>
      <w:bookmarkEnd w:id="51"/>
    </w:p>
    <w:sdt>
      <w:sdtPr>
        <w:rPr>
          <w:rFonts w:hint="eastAsia"/>
        </w:rPr>
        <w:id w:val="715848253"/>
        <w:placeholder>
          <w:docPart w:val="82874CD857744805AF8809A672F3435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69C6A00F">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7CF9EEB">
      <w:pPr>
        <w:pStyle w:val="56"/>
        <w:ind w:firstLine="420"/>
        <w:rPr>
          <w:rFonts w:hint="eastAsia"/>
          <w:color w:val="auto"/>
          <w:lang w:val="en-US" w:eastAsia="zh-CN"/>
        </w:rPr>
      </w:pPr>
      <w:r>
        <w:rPr>
          <w:rFonts w:hint="eastAsia"/>
          <w:color w:val="auto"/>
          <w:lang w:val="en-US" w:eastAsia="zh-CN"/>
        </w:rPr>
        <w:t>GB 18871-2002  电离辐射防护与辐射源安全基本标准</w:t>
      </w:r>
    </w:p>
    <w:p w14:paraId="66CBF4B9">
      <w:pPr>
        <w:pStyle w:val="56"/>
        <w:ind w:firstLine="420"/>
        <w:rPr>
          <w:rFonts w:hint="default"/>
          <w:color w:val="auto"/>
          <w:lang w:val="en-US" w:eastAsia="zh-CN"/>
        </w:rPr>
      </w:pPr>
      <w:r>
        <w:rPr>
          <w:rFonts w:hint="eastAsia"/>
          <w:color w:val="auto"/>
          <w:lang w:val="en-US" w:eastAsia="zh-CN"/>
        </w:rPr>
        <w:t>GBZ 117-2022  工业探伤放射防护标准</w:t>
      </w:r>
    </w:p>
    <w:p w14:paraId="4726FAF0">
      <w:pPr>
        <w:pStyle w:val="56"/>
        <w:ind w:firstLine="420"/>
        <w:rPr>
          <w:rFonts w:hint="default" w:eastAsia="宋体"/>
          <w:color w:val="auto"/>
          <w:lang w:val="en-US" w:eastAsia="zh-CN"/>
        </w:rPr>
      </w:pPr>
      <w:r>
        <w:rPr>
          <w:rFonts w:hint="eastAsia"/>
          <w:color w:val="auto"/>
          <w:lang w:val="en-US" w:eastAsia="zh-CN"/>
        </w:rPr>
        <w:t>GB/T 9445-2015  无损检测 人员资格鉴定与认证</w:t>
      </w:r>
    </w:p>
    <w:p w14:paraId="7EAB8DB6">
      <w:pPr>
        <w:pStyle w:val="56"/>
        <w:ind w:firstLine="420"/>
        <w:rPr>
          <w:color w:val="auto"/>
        </w:rPr>
      </w:pPr>
      <w:r>
        <w:rPr>
          <w:rFonts w:hint="eastAsia"/>
          <w:color w:val="auto"/>
        </w:rPr>
        <w:t>GB/T</w:t>
      </w:r>
      <w:r>
        <w:rPr>
          <w:color w:val="auto"/>
        </w:rPr>
        <w:t xml:space="preserve"> </w:t>
      </w:r>
      <w:r>
        <w:rPr>
          <w:rFonts w:hint="eastAsia"/>
          <w:color w:val="auto"/>
        </w:rPr>
        <w:t>13005</w:t>
      </w:r>
      <w:r>
        <w:rPr>
          <w:rFonts w:hint="eastAsia"/>
          <w:color w:val="auto"/>
          <w:lang w:val="en-US" w:eastAsia="zh-CN"/>
        </w:rPr>
        <w:t>-2011</w:t>
      </w:r>
      <w:r>
        <w:rPr>
          <w:rFonts w:hint="eastAsia"/>
          <w:color w:val="auto"/>
        </w:rPr>
        <w:t xml:space="preserve">  气瓶术语</w:t>
      </w:r>
    </w:p>
    <w:p w14:paraId="166874FB">
      <w:pPr>
        <w:pStyle w:val="56"/>
        <w:ind w:firstLine="420"/>
        <w:rPr>
          <w:color w:val="auto"/>
        </w:rPr>
      </w:pPr>
      <w:r>
        <w:rPr>
          <w:rFonts w:hint="eastAsia"/>
          <w:color w:val="auto"/>
        </w:rPr>
        <w:t>GB/T</w:t>
      </w:r>
      <w:r>
        <w:rPr>
          <w:color w:val="auto"/>
        </w:rPr>
        <w:t xml:space="preserve"> </w:t>
      </w:r>
      <w:r>
        <w:rPr>
          <w:rFonts w:hint="eastAsia"/>
          <w:color w:val="auto"/>
        </w:rPr>
        <w:t>24162</w:t>
      </w:r>
      <w:r>
        <w:rPr>
          <w:rFonts w:hint="eastAsia"/>
          <w:color w:val="auto"/>
          <w:lang w:val="en-US" w:eastAsia="zh-CN"/>
        </w:rPr>
        <w:t>-2022</w:t>
      </w:r>
      <w:r>
        <w:rPr>
          <w:rFonts w:hint="eastAsia"/>
          <w:color w:val="auto"/>
        </w:rPr>
        <w:t xml:space="preserve">  汽车用压缩天然气金属内胆纤维环缠绕气瓶定期检验与评定</w:t>
      </w:r>
    </w:p>
    <w:p w14:paraId="405C9062">
      <w:pPr>
        <w:pStyle w:val="56"/>
        <w:ind w:firstLine="420"/>
      </w:pPr>
      <w:r>
        <w:rPr>
          <w:rFonts w:hint="eastAsia"/>
          <w:color w:val="auto"/>
        </w:rPr>
        <w:t>GB/T</w:t>
      </w:r>
      <w:r>
        <w:rPr>
          <w:color w:val="auto"/>
        </w:rPr>
        <w:t xml:space="preserve"> </w:t>
      </w:r>
      <w:r>
        <w:rPr>
          <w:rFonts w:hint="eastAsia"/>
          <w:color w:val="auto"/>
        </w:rPr>
        <w:t>35544</w:t>
      </w:r>
      <w:r>
        <w:rPr>
          <w:rFonts w:hint="eastAsia"/>
          <w:color w:val="auto"/>
          <w:lang w:val="en-US" w:eastAsia="zh-CN"/>
        </w:rPr>
        <w:t>-2017</w:t>
      </w:r>
      <w:r>
        <w:rPr>
          <w:rFonts w:hint="eastAsia"/>
          <w:color w:val="auto"/>
        </w:rPr>
        <w:t xml:space="preserve">  车用压缩氢气铝内胆碳纤维</w:t>
      </w:r>
      <w:r>
        <w:rPr>
          <w:rFonts w:hint="eastAsia"/>
        </w:rPr>
        <w:t>全缠绕气瓶</w:t>
      </w:r>
    </w:p>
    <w:p w14:paraId="5968F61C">
      <w:pPr>
        <w:pStyle w:val="56"/>
        <w:ind w:firstLine="420"/>
        <w:rPr>
          <w:rFonts w:hint="default" w:eastAsia="宋体"/>
          <w:lang w:val="en-US" w:eastAsia="zh-CN"/>
        </w:rPr>
      </w:pPr>
      <w:r>
        <w:rPr>
          <w:rFonts w:hint="eastAsia"/>
        </w:rPr>
        <w:t>NB/T 47013</w:t>
      </w:r>
      <w:r>
        <w:rPr>
          <w:rFonts w:hint="eastAsia"/>
          <w:lang w:val="en-US" w:eastAsia="zh-CN"/>
        </w:rPr>
        <w:t xml:space="preserve">.1-2015 </w:t>
      </w:r>
      <w:r>
        <w:rPr>
          <w:rFonts w:hint="eastAsia"/>
        </w:rPr>
        <w:t xml:space="preserve"> 承压设备无损检测</w:t>
      </w:r>
      <w:r>
        <w:rPr>
          <w:rFonts w:hint="eastAsia"/>
          <w:lang w:val="en-US" w:eastAsia="zh-CN"/>
        </w:rPr>
        <w:t xml:space="preserve"> 第1部分：通用要求</w:t>
      </w:r>
    </w:p>
    <w:p w14:paraId="2AB675ED">
      <w:pPr>
        <w:pStyle w:val="56"/>
        <w:ind w:firstLine="420"/>
      </w:pPr>
    </w:p>
    <w:p w14:paraId="34D6D233">
      <w:pPr>
        <w:pStyle w:val="104"/>
        <w:spacing w:before="312" w:after="312"/>
      </w:pPr>
      <w:bookmarkStart w:id="52" w:name="_Toc127892273"/>
      <w:bookmarkStart w:id="53" w:name="_Toc127892259"/>
      <w:bookmarkStart w:id="54" w:name="_Toc97191425"/>
      <w:bookmarkStart w:id="55" w:name="_Toc129620119"/>
      <w:bookmarkStart w:id="56" w:name="_Toc127887538"/>
      <w:r>
        <w:rPr>
          <w:rFonts w:hint="eastAsia"/>
          <w:szCs w:val="21"/>
        </w:rPr>
        <w:t>术语和定义</w:t>
      </w:r>
      <w:bookmarkEnd w:id="52"/>
      <w:bookmarkEnd w:id="53"/>
      <w:bookmarkEnd w:id="54"/>
      <w:bookmarkEnd w:id="55"/>
      <w:bookmarkEnd w:id="56"/>
    </w:p>
    <w:sdt>
      <w:sdtPr>
        <w:id w:val="-1909835108"/>
        <w:placeholder>
          <w:docPart w:val="DB1407132D774B26B19FD0F2B2D3375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04AC4D9">
          <w:pPr>
            <w:pStyle w:val="56"/>
            <w:ind w:firstLine="420"/>
          </w:pPr>
          <w:bookmarkStart w:id="57" w:name="_Toc26986532"/>
          <w:bookmarkEnd w:id="57"/>
          <w:r>
            <w:rPr>
              <w:rFonts w:hint="eastAsia"/>
            </w:rPr>
            <w:t>GB/T13005、GB/T24162、GB/T35544</w:t>
          </w:r>
          <w:r>
            <w:t>界定的以及下列术语和定义适用于本文件。</w:t>
          </w:r>
        </w:p>
      </w:sdtContent>
    </w:sdt>
    <w:p w14:paraId="3F6E75E6">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一级损伤 Level 1 damage</w:t>
      </w:r>
    </w:p>
    <w:p w14:paraId="0BADD3D2">
      <w:pPr>
        <w:pStyle w:val="56"/>
        <w:ind w:firstLine="420"/>
      </w:pPr>
      <w:r>
        <w:rPr>
          <w:rFonts w:hint="eastAsia"/>
        </w:rPr>
        <w:t>在正常使用中发生的轻微损伤，这种损伤对气瓶的安全没有构成有害的影响，可继续使用。</w:t>
      </w:r>
    </w:p>
    <w:p w14:paraId="26A3DBE8">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二级损伤 Level 2 damage</w:t>
      </w:r>
    </w:p>
    <w:p w14:paraId="77382B18">
      <w:pPr>
        <w:pStyle w:val="56"/>
        <w:ind w:firstLine="420"/>
      </w:pPr>
      <w:r>
        <w:rPr>
          <w:rFonts w:hint="eastAsia"/>
        </w:rPr>
        <w:t>损伤程度比一级损伤严重，但可以进行修复。</w:t>
      </w:r>
    </w:p>
    <w:p w14:paraId="40DA336D">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三级损伤 Level 3 damage</w:t>
      </w:r>
    </w:p>
    <w:p w14:paraId="0DF3B23E">
      <w:pPr>
        <w:pStyle w:val="56"/>
        <w:ind w:firstLine="420"/>
      </w:pPr>
      <w:r>
        <w:rPr>
          <w:rFonts w:hint="eastAsia"/>
        </w:rPr>
        <w:t>三级损伤的气瓶不能再继续使用，也不能进行修复。</w:t>
      </w:r>
    </w:p>
    <w:p w14:paraId="5909BF9A">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磨损损伤 Abrasion damage</w:t>
      </w:r>
    </w:p>
    <w:p w14:paraId="660850EF">
      <w:pPr>
        <w:pStyle w:val="56"/>
        <w:ind w:firstLine="420"/>
      </w:pPr>
      <w:r>
        <w:rPr>
          <w:rFonts w:hint="eastAsia"/>
        </w:rPr>
        <w:t>与瓶外物体因磨损、研磨或摩擦而引起的损伤。</w:t>
      </w:r>
    </w:p>
    <w:p w14:paraId="6815C06E">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开裂 Crazing</w:t>
      </w:r>
    </w:p>
    <w:p w14:paraId="25843379">
      <w:pPr>
        <w:pStyle w:val="56"/>
        <w:ind w:firstLine="420"/>
      </w:pPr>
      <w:r>
        <w:rPr>
          <w:rFonts w:hint="eastAsia"/>
        </w:rPr>
        <w:t>树脂的细纹开裂使其呈现不透明的“冰霜”外观。</w:t>
      </w:r>
    </w:p>
    <w:p w14:paraId="5BB777EE">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分层 Delamination</w:t>
      </w:r>
    </w:p>
    <w:p w14:paraId="2880D089">
      <w:pPr>
        <w:pStyle w:val="56"/>
        <w:ind w:firstLine="420"/>
      </w:pPr>
      <w:r>
        <w:rPr>
          <w:rFonts w:hint="eastAsia"/>
        </w:rPr>
        <w:t>缠绕层之间发生分离。</w:t>
      </w:r>
    </w:p>
    <w:p w14:paraId="70CCE0E6">
      <w:pPr>
        <w:pStyle w:val="56"/>
        <w:ind w:firstLine="420"/>
      </w:pPr>
      <w:r>
        <w:rPr>
          <w:rFonts w:hint="eastAsia"/>
        </w:rPr>
        <w:t>注：这种类型的损伤通常是由于与材料表面垂直的局部过载造成的。</w:t>
      </w:r>
    </w:p>
    <w:p w14:paraId="7EDCBC2E">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冲击损伤 Impact damage</w:t>
      </w:r>
    </w:p>
    <w:p w14:paraId="752C2ED0">
      <w:pPr>
        <w:pStyle w:val="56"/>
        <w:ind w:firstLine="420"/>
      </w:pPr>
      <w:r>
        <w:rPr>
          <w:rFonts w:hint="eastAsia"/>
        </w:rPr>
        <w:t>因掉落或其他物体的撞击而造成的损坏。</w:t>
      </w:r>
    </w:p>
    <w:p w14:paraId="3B0CD660">
      <w:pPr>
        <w:pStyle w:val="179"/>
      </w:pPr>
      <w:r>
        <w:rPr>
          <w:rFonts w:hint="eastAsia"/>
        </w:rPr>
        <w:t>冲击损伤可能发生在表面、结构内部，或两者兼而有之。</w:t>
      </w:r>
    </w:p>
    <w:p w14:paraId="7689019B">
      <w:pPr>
        <w:pStyle w:val="104"/>
        <w:spacing w:before="312" w:after="312"/>
      </w:pPr>
      <w:bookmarkStart w:id="58" w:name="_Toc127892260"/>
      <w:bookmarkStart w:id="59" w:name="_Toc127892274"/>
      <w:bookmarkStart w:id="60" w:name="_Toc129620120"/>
      <w:r>
        <w:rPr>
          <w:rFonts w:hint="eastAsia"/>
        </w:rPr>
        <w:t>总体要求</w:t>
      </w:r>
      <w:bookmarkEnd w:id="58"/>
      <w:bookmarkEnd w:id="59"/>
      <w:bookmarkEnd w:id="60"/>
    </w:p>
    <w:p w14:paraId="010F8442">
      <w:pPr>
        <w:pStyle w:val="105"/>
        <w:spacing w:before="156" w:after="156"/>
      </w:pPr>
      <w:bookmarkStart w:id="61" w:name="_Toc127892261"/>
      <w:r>
        <w:rPr>
          <w:rFonts w:hint="eastAsia"/>
        </w:rPr>
        <w:t>检测人员</w:t>
      </w:r>
      <w:bookmarkEnd w:id="61"/>
    </w:p>
    <w:p w14:paraId="4B518FA6">
      <w:pPr>
        <w:pStyle w:val="165"/>
      </w:pPr>
      <w:r>
        <w:rPr>
          <w:rFonts w:hint="eastAsia"/>
        </w:rPr>
        <w:t>按本文件实施无损检测的人员，应根据</w:t>
      </w:r>
      <w:r>
        <w:rPr>
          <w:rFonts w:hint="eastAsia"/>
          <w:highlight w:val="yellow"/>
        </w:rPr>
        <w:t>GB/T 9445</w:t>
      </w:r>
      <w:r>
        <w:rPr>
          <w:rFonts w:hint="eastAsia"/>
        </w:rPr>
        <w:t>的要求或合同各方同意的体系进行资格鉴定与认证，取得相应方法的资格证书。</w:t>
      </w:r>
    </w:p>
    <w:p w14:paraId="1300AB93">
      <w:pPr>
        <w:pStyle w:val="165"/>
      </w:pPr>
      <w:r>
        <w:rPr>
          <w:rFonts w:hint="eastAsia"/>
        </w:rPr>
        <w:t>取得不同无损检测方法不同资格级别的人员，只能从事与该方法和资格级别相应的无损检测工作。</w:t>
      </w:r>
    </w:p>
    <w:p w14:paraId="74403BAE">
      <w:pPr>
        <w:pStyle w:val="165"/>
      </w:pPr>
      <w:r>
        <w:rPr>
          <w:rFonts w:hint="eastAsia"/>
        </w:rPr>
        <w:t>光栅监测人员应具有一定的光纤材料、光路设备安装、光信号解调等方面的基本知识，应熟悉Ⅲ型储氢气瓶的材质结构、几何尺寸及应变性能等，对监测中出现的问题能作出分析、判断和处理。</w:t>
      </w:r>
    </w:p>
    <w:p w14:paraId="1EBCEC70">
      <w:pPr>
        <w:pStyle w:val="165"/>
      </w:pPr>
      <w:r>
        <w:rPr>
          <w:rFonts w:hint="eastAsia"/>
        </w:rPr>
        <w:t>从事储氢气瓶无损检测或监测的人员，应具有一定的金属材料、复合材料及储氢气瓶制造及定期检验等方面的基本知识。</w:t>
      </w:r>
    </w:p>
    <w:p w14:paraId="50C73A56">
      <w:pPr>
        <w:pStyle w:val="105"/>
        <w:spacing w:before="156" w:after="156"/>
      </w:pPr>
      <w:bookmarkStart w:id="62" w:name="_Toc127892262"/>
      <w:r>
        <w:rPr>
          <w:rFonts w:hint="eastAsia"/>
        </w:rPr>
        <w:t>检测设备和器材</w:t>
      </w:r>
      <w:bookmarkEnd w:id="62"/>
    </w:p>
    <w:p w14:paraId="0615D12F">
      <w:pPr>
        <w:pStyle w:val="165"/>
      </w:pPr>
      <w:r>
        <w:rPr>
          <w:rFonts w:hint="eastAsia"/>
        </w:rPr>
        <w:t>检测设备和主要器材应附有产品质量合格证明文件。</w:t>
      </w:r>
    </w:p>
    <w:p w14:paraId="0E06A6AF">
      <w:pPr>
        <w:pStyle w:val="165"/>
      </w:pPr>
      <w:r>
        <w:rPr>
          <w:rFonts w:hint="eastAsia"/>
        </w:rPr>
        <w:t>检测设备和器材应符合其相应的产品标准规定，其性能应满足附录A</w:t>
      </w:r>
      <w:r>
        <w:t>-</w:t>
      </w:r>
      <w:r>
        <w:rPr>
          <w:rFonts w:hint="eastAsia"/>
        </w:rPr>
        <w:t xml:space="preserve"> 附录G中规定的有关要求并提供证明文件。</w:t>
      </w:r>
    </w:p>
    <w:p w14:paraId="30353A4D">
      <w:pPr>
        <w:pStyle w:val="165"/>
      </w:pPr>
      <w:r>
        <w:rPr>
          <w:rFonts w:hint="eastAsia"/>
        </w:rPr>
        <w:t>对于可反复使用的无损检测设备和灵敏度相关器材，为确保其工作性能持续符合本文件各部分的有关要求，承担无损检测的单位应定期进行检定、校准或核查，并在检测单位的工艺规程中予以规定。</w:t>
      </w:r>
    </w:p>
    <w:p w14:paraId="050A74B1">
      <w:pPr>
        <w:pStyle w:val="105"/>
        <w:spacing w:before="156" w:after="156"/>
      </w:pPr>
      <w:bookmarkStart w:id="63" w:name="_Toc127892263"/>
      <w:r>
        <w:rPr>
          <w:rFonts w:hint="eastAsia"/>
        </w:rPr>
        <w:t>检测方法和工艺</w:t>
      </w:r>
      <w:bookmarkEnd w:id="63"/>
    </w:p>
    <w:p w14:paraId="7D2B602C">
      <w:pPr>
        <w:pStyle w:val="65"/>
        <w:spacing w:before="156" w:after="156"/>
      </w:pPr>
      <w:r>
        <w:rPr>
          <w:rFonts w:hint="eastAsia"/>
        </w:rPr>
        <w:t>无损检测方法和选用</w:t>
      </w:r>
    </w:p>
    <w:p w14:paraId="041568D5">
      <w:pPr>
        <w:pStyle w:val="164"/>
        <w:rPr>
          <w:color w:val="auto"/>
        </w:rPr>
      </w:pPr>
      <w:r>
        <w:rPr>
          <w:rFonts w:hint="eastAsia"/>
        </w:rPr>
        <w:t>本文件涉及的无损检测/监测方法包括</w:t>
      </w:r>
      <w:r>
        <w:rPr>
          <w:rFonts w:hint="eastAsia"/>
          <w:color w:val="auto"/>
        </w:rPr>
        <w:t>目视检测、阵列涡流检测、模态声发射检测、多物理场红外热成像检测、相控阵超声检测（基于编码激励技术）、X射线数字成像及储氢气瓶在线光纤光栅监测方法。</w:t>
      </w:r>
    </w:p>
    <w:p w14:paraId="446355C5">
      <w:pPr>
        <w:pStyle w:val="164"/>
      </w:pPr>
      <w:r>
        <w:rPr>
          <w:rFonts w:hint="eastAsia"/>
        </w:rPr>
        <w:t>应在遵循储氢气瓶安全技术规范和相关产品标准及有关技术文件规定的基础上，根据储氢气瓶的材质（包括内胆、碳</w:t>
      </w:r>
      <w:bookmarkStart w:id="64" w:name="OLE_LINK10"/>
      <w:r>
        <w:rPr>
          <w:rFonts w:hint="eastAsia"/>
        </w:rPr>
        <w:t>纤维缠绕层</w:t>
      </w:r>
      <w:bookmarkEnd w:id="64"/>
      <w:r>
        <w:rPr>
          <w:rFonts w:hint="eastAsia"/>
        </w:rPr>
        <w:t>及玻璃纤维缠绕层）、结构、制造方法、工作介质、使用条件和失效模式，预计可能产生的缺陷种类、形状、部位和方向，按本部分和附录B</w:t>
      </w:r>
      <w:r>
        <w:t>-</w:t>
      </w:r>
      <w:r>
        <w:rPr>
          <w:rFonts w:hint="eastAsia"/>
        </w:rPr>
        <w:t>附录F的规定，选择一种或多种适宜的无损检测方法，确定其检测比例及质量要求等，以形成明确的检测要求。</w:t>
      </w:r>
    </w:p>
    <w:p w14:paraId="31DE4EB8">
      <w:pPr>
        <w:pStyle w:val="164"/>
      </w:pPr>
      <w:r>
        <w:rPr>
          <w:rFonts w:hint="eastAsia"/>
        </w:rPr>
        <w:t>当采用未列入本文件规定或超出本文件适用范围的无损检测方法时（如太赫兹、交流电磁场或电容成像等方法），需具备相应的无损检测人员、检测器材和检测工艺文件，经现场试验和技术验证，形成企业标准，实际应用时还应符合相关法规和规程的规定。</w:t>
      </w:r>
    </w:p>
    <w:p w14:paraId="387EAEC1">
      <w:pPr>
        <w:pStyle w:val="65"/>
        <w:spacing w:before="156" w:after="156"/>
      </w:pPr>
      <w:r>
        <w:rPr>
          <w:rFonts w:hint="eastAsia"/>
        </w:rPr>
        <w:t>无损检测工艺文件</w:t>
      </w:r>
    </w:p>
    <w:p w14:paraId="6F02E7A5">
      <w:pPr>
        <w:pStyle w:val="164"/>
      </w:pPr>
      <w:r>
        <w:rPr>
          <w:rFonts w:hint="eastAsia"/>
        </w:rPr>
        <w:t>检测单位应制定无损检测工艺文件，无损检测工艺文件包括工艺规程和作业指导书。</w:t>
      </w:r>
    </w:p>
    <w:p w14:paraId="5D7D945C">
      <w:pPr>
        <w:pStyle w:val="164"/>
      </w:pPr>
      <w:r>
        <w:rPr>
          <w:rFonts w:hint="eastAsia"/>
        </w:rPr>
        <w:t>无损检测工艺文件的内容应满足本部分和附录B</w:t>
      </w:r>
      <w:r>
        <w:t>-</w:t>
      </w:r>
      <w:r>
        <w:rPr>
          <w:rFonts w:hint="eastAsia"/>
        </w:rPr>
        <w:t>附录F的相关要求</w:t>
      </w:r>
      <w:r>
        <w:rPr>
          <w:rFonts w:hint="eastAsia"/>
          <w:lang w:eastAsia="zh-CN"/>
        </w:rPr>
        <w:t>。</w:t>
      </w:r>
    </w:p>
    <w:p w14:paraId="35B16B28">
      <w:pPr>
        <w:pStyle w:val="65"/>
        <w:spacing w:before="156" w:after="156"/>
      </w:pPr>
      <w:r>
        <w:rPr>
          <w:rFonts w:hint="eastAsia"/>
        </w:rPr>
        <w:t>检测场所和环境</w:t>
      </w:r>
    </w:p>
    <w:p w14:paraId="7268C049">
      <w:pPr>
        <w:pStyle w:val="164"/>
      </w:pPr>
      <w:r>
        <w:rPr>
          <w:rFonts w:hint="eastAsia"/>
        </w:rPr>
        <w:t>检测场所和环境包括但不限于能源、照明和环境条件（包括风速、温度、湿度等因素），应有助于无损检测的有效实施。</w:t>
      </w:r>
    </w:p>
    <w:p w14:paraId="37A599CB">
      <w:pPr>
        <w:pStyle w:val="164"/>
      </w:pPr>
      <w:r>
        <w:rPr>
          <w:rFonts w:hint="eastAsia"/>
        </w:rPr>
        <w:t>检测场所和环境除应符合国家和地方有关环境卫生和劳动保护的法规外，还应尽量避免对人体有较大影响可能干扰正常操作、观察和判断的场所和环境。</w:t>
      </w:r>
    </w:p>
    <w:p w14:paraId="6709E287">
      <w:pPr>
        <w:pStyle w:val="164"/>
      </w:pPr>
      <w:r>
        <w:rPr>
          <w:rFonts w:hint="eastAsia"/>
        </w:rPr>
        <w:t>应将不相容活动的相邻区域进行有效隔离，采取措施防止相互干扰。</w:t>
      </w:r>
    </w:p>
    <w:p w14:paraId="01443076">
      <w:pPr>
        <w:pStyle w:val="104"/>
        <w:spacing w:before="312" w:after="312"/>
      </w:pPr>
      <w:bookmarkStart w:id="65" w:name="_Toc127892264"/>
      <w:bookmarkStart w:id="66" w:name="_Toc127892275"/>
      <w:bookmarkStart w:id="67" w:name="_Toc129620121"/>
      <w:r>
        <w:rPr>
          <w:rFonts w:hint="eastAsia"/>
        </w:rPr>
        <w:t>各无损检测方法和使用原则</w:t>
      </w:r>
      <w:bookmarkEnd w:id="65"/>
      <w:bookmarkEnd w:id="66"/>
      <w:bookmarkEnd w:id="67"/>
    </w:p>
    <w:p w14:paraId="3003C30F">
      <w:pPr>
        <w:pStyle w:val="105"/>
        <w:spacing w:before="156" w:after="156"/>
      </w:pPr>
      <w:bookmarkStart w:id="68" w:name="_Toc127892265"/>
      <w:r>
        <w:rPr>
          <w:rFonts w:hint="eastAsia"/>
        </w:rPr>
        <w:t>通用原则</w:t>
      </w:r>
      <w:bookmarkEnd w:id="68"/>
    </w:p>
    <w:p w14:paraId="1B5EE607">
      <w:pPr>
        <w:pStyle w:val="165"/>
      </w:pPr>
      <w:r>
        <w:rPr>
          <w:rFonts w:hint="eastAsia"/>
        </w:rPr>
        <w:t>每一种无损检测方法均有其能力范围和局限性，且应保证足够的实施操作空间。</w:t>
      </w:r>
    </w:p>
    <w:p w14:paraId="22AB55C7">
      <w:pPr>
        <w:pStyle w:val="165"/>
      </w:pPr>
      <w:r>
        <w:rPr>
          <w:rFonts w:hint="eastAsia"/>
        </w:rPr>
        <w:t>最大允许缺陷尺寸的确定</w:t>
      </w:r>
    </w:p>
    <w:p w14:paraId="22066A1B">
      <w:pPr>
        <w:pStyle w:val="56"/>
        <w:ind w:firstLine="420"/>
      </w:pPr>
      <w:r>
        <w:rPr>
          <w:rFonts w:hint="eastAsia"/>
        </w:rPr>
        <w:t>储氢气瓶内胆最大允许缺陷尺寸的确定，可根据</w:t>
      </w:r>
      <w:r>
        <w:rPr>
          <w:rFonts w:hint="eastAsia"/>
          <w:highlight w:val="yellow"/>
        </w:rPr>
        <w:t>GB/T 35544</w:t>
      </w:r>
      <w:r>
        <w:rPr>
          <w:rFonts w:hint="eastAsia"/>
        </w:rPr>
        <w:t>附录A确定。储氢气瓶复合材料的最大允许缺陷尺寸的确定，应根据不同树脂和碳纤维的选择，咨询气瓶制造单位。</w:t>
      </w:r>
    </w:p>
    <w:p w14:paraId="6B214F7B">
      <w:pPr>
        <w:pStyle w:val="165"/>
      </w:pPr>
      <w:r>
        <w:rPr>
          <w:rFonts w:hint="eastAsia"/>
        </w:rPr>
        <w:t>阵列涡流检测</w:t>
      </w:r>
    </w:p>
    <w:p w14:paraId="77F316AE">
      <w:pPr>
        <w:pStyle w:val="56"/>
        <w:ind w:firstLine="420"/>
      </w:pPr>
      <w:r>
        <w:rPr>
          <w:rFonts w:hint="eastAsia"/>
        </w:rPr>
        <w:t>当对储氢气瓶金属内胆内表面质量有怀疑时，可进行阵列涡流检测。阵列涡流检测相关要求见附录B。</w:t>
      </w:r>
    </w:p>
    <w:p w14:paraId="43BA1682">
      <w:pPr>
        <w:pStyle w:val="165"/>
      </w:pPr>
      <w:r>
        <w:rPr>
          <w:rFonts w:hint="eastAsia"/>
        </w:rPr>
        <w:t>模态声发射检测</w:t>
      </w:r>
    </w:p>
    <w:p w14:paraId="54FE5876">
      <w:pPr>
        <w:pStyle w:val="56"/>
        <w:ind w:firstLine="420"/>
      </w:pPr>
      <w:r>
        <w:rPr>
          <w:rFonts w:hint="eastAsia"/>
        </w:rPr>
        <w:t>当需要总体评价气瓶质量以判定其风险程度时，可进行模态声发射检测。模态声发射检测相关要求见附录C。</w:t>
      </w:r>
    </w:p>
    <w:p w14:paraId="3C947B89">
      <w:pPr>
        <w:pStyle w:val="56"/>
        <w:ind w:firstLine="420"/>
      </w:pPr>
      <w:r>
        <w:rPr>
          <w:rFonts w:hint="eastAsia"/>
        </w:rPr>
        <w:t>注：不建议使用传统常规声发射检测对复合材料气瓶进行检测。</w:t>
      </w:r>
    </w:p>
    <w:p w14:paraId="27541A5A">
      <w:pPr>
        <w:pStyle w:val="165"/>
      </w:pPr>
      <w:r>
        <w:rPr>
          <w:rFonts w:hint="eastAsia"/>
        </w:rPr>
        <w:t>多物理场红外热成像检测</w:t>
      </w:r>
    </w:p>
    <w:p w14:paraId="6083B188">
      <w:pPr>
        <w:pStyle w:val="56"/>
        <w:ind w:firstLine="420"/>
      </w:pPr>
      <w:r>
        <w:rPr>
          <w:rFonts w:hint="eastAsia"/>
        </w:rPr>
        <w:t>当对复合材料质量有所怀疑时，可进行多物理场红外热成像检测。多物理场红外热成像检测相关要求见附录D。</w:t>
      </w:r>
    </w:p>
    <w:p w14:paraId="373E8925">
      <w:pPr>
        <w:pStyle w:val="165"/>
      </w:pPr>
      <w:r>
        <w:rPr>
          <w:rFonts w:hint="eastAsia"/>
        </w:rPr>
        <w:t>相控阵</w:t>
      </w:r>
      <w:bookmarkStart w:id="69" w:name="OLE_LINK6"/>
      <w:r>
        <w:rPr>
          <w:rFonts w:hint="eastAsia"/>
        </w:rPr>
        <w:t>超声检测（基于编码激励原理）</w:t>
      </w:r>
    </w:p>
    <w:p w14:paraId="75202901">
      <w:pPr>
        <w:pStyle w:val="56"/>
        <w:ind w:firstLine="420"/>
      </w:pPr>
      <w:r>
        <w:rPr>
          <w:rFonts w:hint="eastAsia"/>
        </w:rPr>
        <w:t>当对气瓶复合材料质量有怀疑时，可进行相控阵超声检测</w:t>
      </w:r>
      <w:bookmarkStart w:id="70" w:name="OLE_LINK11"/>
      <w:r>
        <w:rPr>
          <w:rFonts w:hint="eastAsia"/>
        </w:rPr>
        <w:t>（基于编码激励原理）</w:t>
      </w:r>
      <w:bookmarkEnd w:id="70"/>
      <w:r>
        <w:rPr>
          <w:rFonts w:hint="eastAsia"/>
        </w:rPr>
        <w:t>，相控阵超声检测（基于编码激励原理）相关要求见附录E。</w:t>
      </w:r>
    </w:p>
    <w:bookmarkEnd w:id="69"/>
    <w:p w14:paraId="6DD20006">
      <w:pPr>
        <w:pStyle w:val="179"/>
      </w:pPr>
      <w:r>
        <w:rPr>
          <w:rFonts w:hint="eastAsia"/>
        </w:rPr>
        <w:t>通过加持全聚焦算法的超声相控阵成像具有较高的成像精度和均较大的动态范围，但是传统基于单阵元独立激励的TFM成像算法采集的回波数据容易受到衰减影响而导致较低的信噪比和成像质量，从而导致TFM在高衰减的环境中受到局限；基于编码激励技术，可以提高TFM信噪比，使得TFM更适用于无损检测的实际工程。</w:t>
      </w:r>
    </w:p>
    <w:p w14:paraId="2C57DF57">
      <w:pPr>
        <w:pStyle w:val="165"/>
      </w:pPr>
      <w:r>
        <w:rPr>
          <w:rFonts w:hint="eastAsia"/>
        </w:rPr>
        <w:t>当对储氢气瓶复合材料或内胆质量有怀疑时，在检测条件满足</w:t>
      </w:r>
      <w:bookmarkStart w:id="71" w:name="OLE_LINK3"/>
      <w:r>
        <w:rPr>
          <w:rFonts w:hint="eastAsia"/>
          <w:highlight w:val="yellow"/>
        </w:rPr>
        <w:t>GB18871</w:t>
      </w:r>
      <w:bookmarkEnd w:id="71"/>
      <w:r>
        <w:rPr>
          <w:rFonts w:hint="eastAsia"/>
          <w:highlight w:val="yellow"/>
        </w:rPr>
        <w:t>、GBZ117</w:t>
      </w:r>
      <w:r>
        <w:rPr>
          <w:rFonts w:hint="eastAsia"/>
        </w:rPr>
        <w:t>的有关规定的情况下，可进行X射线数字成像检测，X射线数字成像检测相关要求见附录F。</w:t>
      </w:r>
    </w:p>
    <w:p w14:paraId="421FDB81">
      <w:pPr>
        <w:pStyle w:val="165"/>
      </w:pPr>
      <w:r>
        <w:rPr>
          <w:rFonts w:hint="eastAsia"/>
        </w:rPr>
        <w:t>当采用两种或两种以上的检测方法对储氢气瓶的同一部位进行检测时、应按各自的方法评定级别。</w:t>
      </w:r>
    </w:p>
    <w:p w14:paraId="5B34C7F7">
      <w:pPr>
        <w:pStyle w:val="105"/>
        <w:spacing w:before="156" w:after="156"/>
      </w:pPr>
      <w:bookmarkStart w:id="72" w:name="_Toc127892266"/>
      <w:r>
        <w:rPr>
          <w:rFonts w:hint="eastAsia"/>
        </w:rPr>
        <w:t>各无损检测方法的能力范围和局限性</w:t>
      </w:r>
      <w:bookmarkEnd w:id="72"/>
    </w:p>
    <w:p w14:paraId="12E84259">
      <w:pPr>
        <w:pStyle w:val="65"/>
        <w:spacing w:before="156" w:after="156"/>
      </w:pPr>
      <w:r>
        <w:rPr>
          <w:rFonts w:hint="eastAsia"/>
        </w:rPr>
        <w:t>目视检测</w:t>
      </w:r>
    </w:p>
    <w:p w14:paraId="73460E38">
      <w:pPr>
        <w:pStyle w:val="164"/>
      </w:pPr>
      <w:r>
        <w:rPr>
          <w:rFonts w:hint="eastAsia"/>
        </w:rPr>
        <w:t>能力范围：</w:t>
      </w:r>
    </w:p>
    <w:p w14:paraId="619C7BE5">
      <w:pPr>
        <w:pStyle w:val="174"/>
      </w:pPr>
      <w:r>
        <w:rPr>
          <w:rFonts w:hint="eastAsia"/>
        </w:rPr>
        <w:t>能观察出储氢气瓶的表面状态、变形或泄漏的迹象等；</w:t>
      </w:r>
    </w:p>
    <w:p w14:paraId="4B49DC47">
      <w:pPr>
        <w:pStyle w:val="174"/>
      </w:pPr>
      <w:r>
        <w:rPr>
          <w:rFonts w:hint="eastAsia"/>
        </w:rPr>
        <w:t>能确定缺陷的位置、大小以及缺陷的性质；</w:t>
      </w:r>
    </w:p>
    <w:p w14:paraId="6B9472B2">
      <w:pPr>
        <w:pStyle w:val="174"/>
      </w:pPr>
      <w:r>
        <w:rPr>
          <w:rFonts w:hint="eastAsia"/>
        </w:rPr>
        <w:t>目视检测的效果受人为因素影响较大</w:t>
      </w:r>
      <w:r>
        <w:rPr>
          <w:rFonts w:hint="eastAsia"/>
          <w:lang w:eastAsia="zh-CN"/>
        </w:rPr>
        <w:t>。</w:t>
      </w:r>
    </w:p>
    <w:p w14:paraId="39010DE0">
      <w:pPr>
        <w:pStyle w:val="164"/>
      </w:pPr>
      <w:r>
        <w:rPr>
          <w:rFonts w:hint="eastAsia"/>
        </w:rPr>
        <w:t>局限性：</w:t>
      </w:r>
    </w:p>
    <w:p w14:paraId="787E23E9">
      <w:pPr>
        <w:pStyle w:val="174"/>
        <w:numPr>
          <w:ilvl w:val="0"/>
          <w:numId w:val="32"/>
        </w:numPr>
      </w:pPr>
      <w:r>
        <w:rPr>
          <w:rFonts w:hint="eastAsia"/>
        </w:rPr>
        <w:t>不能观测出有遮挡的工件表面状态；</w:t>
      </w:r>
    </w:p>
    <w:p w14:paraId="1A34A42C">
      <w:pPr>
        <w:pStyle w:val="174"/>
        <w:numPr>
          <w:ilvl w:val="0"/>
          <w:numId w:val="32"/>
        </w:numPr>
      </w:pPr>
      <w:r>
        <w:rPr>
          <w:rFonts w:hint="eastAsia"/>
        </w:rPr>
        <w:t>较难观测出有油污等的工件表面状态；</w:t>
      </w:r>
    </w:p>
    <w:p w14:paraId="708AEFA4">
      <w:pPr>
        <w:pStyle w:val="174"/>
        <w:numPr>
          <w:ilvl w:val="0"/>
          <w:numId w:val="32"/>
        </w:numPr>
      </w:pPr>
      <w:r>
        <w:rPr>
          <w:rFonts w:hint="eastAsia"/>
        </w:rPr>
        <w:t>对于纤维材料的冲击损伤等，有时难以从表面状态判断损伤的实际大小</w:t>
      </w:r>
      <w:r>
        <w:rPr>
          <w:rFonts w:hint="eastAsia"/>
          <w:lang w:eastAsia="zh-CN"/>
        </w:rPr>
        <w:t>。</w:t>
      </w:r>
    </w:p>
    <w:p w14:paraId="1D18679B">
      <w:pPr>
        <w:pStyle w:val="65"/>
        <w:spacing w:before="156" w:after="156"/>
        <w:rPr>
          <w:color w:val="000000" w:themeColor="text1"/>
          <w14:textFill>
            <w14:solidFill>
              <w14:schemeClr w14:val="tx1"/>
            </w14:solidFill>
          </w14:textFill>
        </w:rPr>
      </w:pPr>
      <w:r>
        <w:rPr>
          <w:rFonts w:hint="eastAsia"/>
          <w:color w:val="000000" w:themeColor="text1"/>
          <w14:textFill>
            <w14:solidFill>
              <w14:schemeClr w14:val="tx1"/>
            </w14:solidFill>
          </w14:textFill>
        </w:rPr>
        <w:t>阵列涡流检测</w:t>
      </w:r>
    </w:p>
    <w:p w14:paraId="4C4B770E">
      <w:pPr>
        <w:pStyle w:val="164"/>
        <w:rPr>
          <w:color w:val="000000" w:themeColor="text1"/>
          <w14:textFill>
            <w14:solidFill>
              <w14:schemeClr w14:val="tx1"/>
            </w14:solidFill>
          </w14:textFill>
        </w:rPr>
      </w:pPr>
      <w:r>
        <w:rPr>
          <w:rFonts w:hint="eastAsia"/>
          <w:color w:val="000000" w:themeColor="text1"/>
          <w14:textFill>
            <w14:solidFill>
              <w14:schemeClr w14:val="tx1"/>
            </w14:solidFill>
          </w14:textFill>
        </w:rPr>
        <w:t>能力范围：</w:t>
      </w:r>
    </w:p>
    <w:p w14:paraId="06233473">
      <w:pPr>
        <w:pStyle w:val="174"/>
        <w:numPr>
          <w:ilvl w:val="0"/>
          <w:numId w:val="33"/>
        </w:numPr>
        <w:rPr>
          <w:color w:val="000000" w:themeColor="text1"/>
          <w14:textFill>
            <w14:solidFill>
              <w14:schemeClr w14:val="tx1"/>
            </w14:solidFill>
          </w14:textFill>
        </w:rPr>
      </w:pPr>
      <w:r>
        <w:rPr>
          <w:rFonts w:hint="eastAsia"/>
          <w:color w:val="000000" w:themeColor="text1"/>
          <w14:textFill>
            <w14:solidFill>
              <w14:schemeClr w14:val="tx1"/>
            </w14:solidFill>
          </w14:textFill>
        </w:rPr>
        <w:t>能检测铝内胆表面、近表面存在的缺陷；</w:t>
      </w:r>
    </w:p>
    <w:p w14:paraId="0F9FC385">
      <w:pPr>
        <w:pStyle w:val="174"/>
        <w:numPr>
          <w:ilvl w:val="0"/>
          <w:numId w:val="33"/>
        </w:numPr>
        <w:rPr>
          <w:color w:val="000000" w:themeColor="text1"/>
          <w14:textFill>
            <w14:solidFill>
              <w14:schemeClr w14:val="tx1"/>
            </w14:solidFill>
          </w14:textFill>
        </w:rPr>
      </w:pPr>
      <w:r>
        <w:rPr>
          <w:rFonts w:hint="eastAsia"/>
          <w:color w:val="000000" w:themeColor="text1"/>
          <w14:textFill>
            <w14:solidFill>
              <w14:schemeClr w14:val="tx1"/>
            </w14:solidFill>
          </w14:textFill>
        </w:rPr>
        <w:t>能确定缺陷的位置，并给出表面开口缺陷或近表面缺陷埋深的参考值；</w:t>
      </w:r>
    </w:p>
    <w:p w14:paraId="7F1C9171">
      <w:pPr>
        <w:pStyle w:val="174"/>
        <w:numPr>
          <w:ilvl w:val="0"/>
          <w:numId w:val="33"/>
        </w:numPr>
        <w:rPr>
          <w:color w:val="000000" w:themeColor="text1"/>
          <w14:textFill>
            <w14:solidFill>
              <w14:schemeClr w14:val="tx1"/>
            </w14:solidFill>
          </w14:textFill>
        </w:rPr>
      </w:pPr>
      <w:r>
        <w:rPr>
          <w:rFonts w:hint="eastAsia"/>
          <w:color w:val="000000" w:themeColor="text1"/>
          <w14:textFill>
            <w14:solidFill>
              <w14:schemeClr w14:val="tx1"/>
            </w14:solidFill>
          </w14:textFill>
        </w:rPr>
        <w:t>涡流检测的灵敏度和检测深度，主要由涡流激发能量和频率决定；</w:t>
      </w:r>
    </w:p>
    <w:p w14:paraId="06048AE0">
      <w:pPr>
        <w:pStyle w:val="174"/>
        <w:numPr>
          <w:ilvl w:val="0"/>
          <w:numId w:val="33"/>
        </w:numPr>
      </w:pPr>
      <w:r>
        <w:rPr>
          <w:rFonts w:hint="eastAsia"/>
        </w:rPr>
        <w:t>可以对检测结果进行C扫描记录</w:t>
      </w:r>
      <w:r>
        <w:rPr>
          <w:rFonts w:hint="eastAsia"/>
          <w:lang w:eastAsia="zh-CN"/>
        </w:rPr>
        <w:t>。</w:t>
      </w:r>
    </w:p>
    <w:p w14:paraId="7750595C">
      <w:pPr>
        <w:pStyle w:val="164"/>
      </w:pPr>
      <w:r>
        <w:rPr>
          <w:rFonts w:hint="eastAsia"/>
        </w:rPr>
        <w:t>局限性：</w:t>
      </w:r>
    </w:p>
    <w:p w14:paraId="60812225">
      <w:pPr>
        <w:pStyle w:val="174"/>
        <w:numPr>
          <w:ilvl w:val="0"/>
          <w:numId w:val="34"/>
        </w:numPr>
      </w:pPr>
      <w:r>
        <w:rPr>
          <w:rFonts w:hint="eastAsia"/>
        </w:rPr>
        <w:t>较难检出材料的埋藏缺陷；</w:t>
      </w:r>
    </w:p>
    <w:p w14:paraId="5507CBDE">
      <w:pPr>
        <w:pStyle w:val="174"/>
        <w:numPr>
          <w:ilvl w:val="0"/>
          <w:numId w:val="34"/>
        </w:numPr>
      </w:pPr>
      <w:r>
        <w:rPr>
          <w:rFonts w:hint="eastAsia"/>
        </w:rPr>
        <w:t>较难检出缺陷的自身宽度和准确深度</w:t>
      </w:r>
      <w:r>
        <w:rPr>
          <w:rFonts w:hint="eastAsia"/>
          <w:lang w:eastAsia="zh-CN"/>
        </w:rPr>
        <w:t>。</w:t>
      </w:r>
    </w:p>
    <w:p w14:paraId="4E0F6209">
      <w:pPr>
        <w:pStyle w:val="65"/>
        <w:spacing w:before="156" w:after="156"/>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模态声发射检测</w:t>
      </w:r>
    </w:p>
    <w:p w14:paraId="3F30DA12">
      <w:pPr>
        <w:pStyle w:val="164"/>
      </w:pPr>
      <w:r>
        <w:rPr>
          <w:rFonts w:hint="eastAsia"/>
        </w:rPr>
        <w:t>能力范围：</w:t>
      </w:r>
    </w:p>
    <w:p w14:paraId="502AC678">
      <w:pPr>
        <w:pStyle w:val="174"/>
        <w:numPr>
          <w:ilvl w:val="0"/>
          <w:numId w:val="35"/>
        </w:numPr>
      </w:pPr>
      <w:r>
        <w:rPr>
          <w:rFonts w:hint="eastAsia"/>
        </w:rPr>
        <w:t>能检测出金属材料和非金属材料制气瓶加压试验过程的裂纹等活性缺陷的部位、活性和强度；</w:t>
      </w:r>
    </w:p>
    <w:p w14:paraId="140CD2F2">
      <w:pPr>
        <w:pStyle w:val="174"/>
        <w:numPr>
          <w:ilvl w:val="0"/>
          <w:numId w:val="34"/>
        </w:numPr>
      </w:pPr>
      <w:r>
        <w:rPr>
          <w:rFonts w:hint="eastAsia"/>
        </w:rPr>
        <w:t>能够在一次加压试验过程中，整体检测和评价整个结构中缺陷的分布和状态；</w:t>
      </w:r>
    </w:p>
    <w:p w14:paraId="4B05503A">
      <w:pPr>
        <w:pStyle w:val="174"/>
        <w:numPr>
          <w:ilvl w:val="0"/>
          <w:numId w:val="34"/>
        </w:numPr>
      </w:pPr>
      <w:r>
        <w:rPr>
          <w:rFonts w:hint="eastAsia"/>
        </w:rPr>
        <w:t>能够检测出活性缺陷随载荷等外变量而变化的实时和连续信息</w:t>
      </w:r>
      <w:r>
        <w:rPr>
          <w:rFonts w:hint="eastAsia"/>
          <w:lang w:eastAsia="zh-CN"/>
        </w:rPr>
        <w:t>。</w:t>
      </w:r>
    </w:p>
    <w:p w14:paraId="25E39165">
      <w:pPr>
        <w:pStyle w:val="164"/>
      </w:pPr>
      <w:r>
        <w:rPr>
          <w:rFonts w:hint="eastAsia"/>
        </w:rPr>
        <w:t>局限性：</w:t>
      </w:r>
    </w:p>
    <w:p w14:paraId="264D9EBE">
      <w:pPr>
        <w:pStyle w:val="174"/>
        <w:numPr>
          <w:ilvl w:val="0"/>
          <w:numId w:val="36"/>
        </w:numPr>
      </w:pPr>
      <w:r>
        <w:rPr>
          <w:rFonts w:hint="eastAsia"/>
        </w:rPr>
        <w:t>难以检测出非活性缺陷；</w:t>
      </w:r>
    </w:p>
    <w:p w14:paraId="0ACFAAB4">
      <w:pPr>
        <w:pStyle w:val="174"/>
        <w:numPr>
          <w:ilvl w:val="0"/>
          <w:numId w:val="34"/>
        </w:numPr>
      </w:pPr>
      <w:r>
        <w:rPr>
          <w:rFonts w:hint="eastAsia"/>
        </w:rPr>
        <w:t>难以对检测到的活性缺陷进行定性和定量，仍需要其他无损检测方法复验；</w:t>
      </w:r>
    </w:p>
    <w:p w14:paraId="5BD48066">
      <w:pPr>
        <w:pStyle w:val="174"/>
        <w:numPr>
          <w:ilvl w:val="0"/>
          <w:numId w:val="34"/>
        </w:numPr>
      </w:pPr>
      <w:r>
        <w:rPr>
          <w:rFonts w:hint="eastAsia"/>
        </w:rPr>
        <w:t>对材料敏感，易受到机电噪声的干扰</w:t>
      </w:r>
      <w:r>
        <w:rPr>
          <w:rFonts w:hint="eastAsia"/>
          <w:lang w:eastAsia="zh-CN"/>
        </w:rPr>
        <w:t>。</w:t>
      </w:r>
    </w:p>
    <w:p w14:paraId="024EAE10">
      <w:pPr>
        <w:pStyle w:val="65"/>
        <w:spacing w:before="156" w:after="156"/>
      </w:pPr>
      <w:r>
        <w:rPr>
          <w:rFonts w:hint="eastAsia"/>
        </w:rPr>
        <w:t>多物理场红外热成像检测</w:t>
      </w:r>
    </w:p>
    <w:p w14:paraId="1F784999">
      <w:pPr>
        <w:pStyle w:val="164"/>
      </w:pPr>
      <w:r>
        <w:rPr>
          <w:rFonts w:hint="eastAsia"/>
        </w:rPr>
        <w:t>能力范围：</w:t>
      </w:r>
    </w:p>
    <w:p w14:paraId="056FEF6A">
      <w:pPr>
        <w:pStyle w:val="174"/>
        <w:numPr>
          <w:ilvl w:val="0"/>
          <w:numId w:val="37"/>
        </w:numPr>
      </w:pPr>
      <w:r>
        <w:rPr>
          <w:rFonts w:hint="eastAsia"/>
        </w:rPr>
        <w:t>能非破坏性用于储氢气瓶的不连续定位和识别；</w:t>
      </w:r>
    </w:p>
    <w:p w14:paraId="324063F7">
      <w:pPr>
        <w:pStyle w:val="174"/>
      </w:pPr>
      <w:r>
        <w:rPr>
          <w:rFonts w:hint="eastAsia"/>
        </w:rPr>
        <w:t>分层或脱粘等面缺陷的检出率高；</w:t>
      </w:r>
    </w:p>
    <w:p w14:paraId="6B47C5E2">
      <w:pPr>
        <w:pStyle w:val="174"/>
      </w:pPr>
      <w:r>
        <w:rPr>
          <w:rFonts w:hint="eastAsia"/>
        </w:rPr>
        <w:t>能够实现储氢气瓶内部缺陷的快速高精度检测；</w:t>
      </w:r>
    </w:p>
    <w:p w14:paraId="3B7F500F">
      <w:pPr>
        <w:pStyle w:val="174"/>
      </w:pPr>
      <w:r>
        <w:rPr>
          <w:rFonts w:hint="eastAsia"/>
        </w:rPr>
        <w:t>储氢气瓶内部缺陷检测结果直观、三维可视化程度高；</w:t>
      </w:r>
    </w:p>
    <w:p w14:paraId="4C4140EF">
      <w:pPr>
        <w:pStyle w:val="174"/>
      </w:pPr>
      <w:r>
        <w:rPr>
          <w:rFonts w:hint="eastAsia"/>
        </w:rPr>
        <w:t>应根据实际应用需要选择合适热激励形式</w:t>
      </w:r>
      <w:r>
        <w:rPr>
          <w:rFonts w:hint="eastAsia"/>
          <w:lang w:eastAsia="zh-CN"/>
        </w:rPr>
        <w:t>。</w:t>
      </w:r>
    </w:p>
    <w:p w14:paraId="7E64DC80">
      <w:pPr>
        <w:pStyle w:val="164"/>
      </w:pPr>
      <w:r>
        <w:rPr>
          <w:rFonts w:hint="eastAsia"/>
        </w:rPr>
        <w:t>局限性：</w:t>
      </w:r>
    </w:p>
    <w:p w14:paraId="18444A8C">
      <w:pPr>
        <w:pStyle w:val="174"/>
        <w:numPr>
          <w:ilvl w:val="0"/>
          <w:numId w:val="38"/>
        </w:numPr>
      </w:pPr>
      <w:r>
        <w:rPr>
          <w:rFonts w:hint="eastAsia"/>
        </w:rPr>
        <w:t>探测深度范围通常较小，对于超过1cm的大厚度构件内部缺陷检测仍存在挑战；</w:t>
      </w:r>
    </w:p>
    <w:p w14:paraId="44101C3D">
      <w:pPr>
        <w:pStyle w:val="174"/>
        <w:numPr>
          <w:ilvl w:val="0"/>
          <w:numId w:val="38"/>
        </w:numPr>
      </w:pPr>
      <w:r>
        <w:rPr>
          <w:rFonts w:hint="eastAsia"/>
        </w:rPr>
        <w:t>内部缺陷深度表征精度仍有待提高。</w:t>
      </w:r>
    </w:p>
    <w:p w14:paraId="0EEC9283">
      <w:pPr>
        <w:pStyle w:val="65"/>
        <w:spacing w:before="156" w:after="156"/>
      </w:pPr>
      <w:r>
        <w:rPr>
          <w:rFonts w:hint="eastAsia"/>
        </w:rPr>
        <w:t>基于编码激励的相控阵超声检测</w:t>
      </w:r>
    </w:p>
    <w:p w14:paraId="24BD612A">
      <w:pPr>
        <w:pStyle w:val="164"/>
      </w:pPr>
      <w:r>
        <w:rPr>
          <w:rFonts w:hint="eastAsia"/>
        </w:rPr>
        <w:t>能力范围：</w:t>
      </w:r>
    </w:p>
    <w:p w14:paraId="39D8568E">
      <w:pPr>
        <w:pStyle w:val="174"/>
        <w:numPr>
          <w:ilvl w:val="0"/>
          <w:numId w:val="39"/>
        </w:numPr>
      </w:pPr>
      <w:r>
        <w:rPr>
          <w:rFonts w:hint="eastAsia"/>
        </w:rPr>
        <w:t>通过全聚焦算法可以准确地计算出各个阵元的时间延时 ，最终可以精准地将相控阵声束聚焦在缺陷位置；</w:t>
      </w:r>
    </w:p>
    <w:p w14:paraId="3B7D6A71">
      <w:pPr>
        <w:pStyle w:val="174"/>
        <w:numPr>
          <w:ilvl w:val="0"/>
          <w:numId w:val="39"/>
        </w:numPr>
      </w:pPr>
      <w:r>
        <w:rPr>
          <w:rFonts w:hint="eastAsia"/>
        </w:rPr>
        <w:t>通过编码激励技术提升TFM的信噪比，减少高声衰减材料对回波数据的干扰；</w:t>
      </w:r>
    </w:p>
    <w:p w14:paraId="55693742">
      <w:pPr>
        <w:pStyle w:val="174"/>
        <w:numPr>
          <w:ilvl w:val="0"/>
          <w:numId w:val="39"/>
        </w:numPr>
      </w:pPr>
      <w:r>
        <w:rPr>
          <w:rFonts w:hint="eastAsia"/>
        </w:rPr>
        <w:t>通过超声相控阵可以获得更精确的波束指向，再借助于多波束叠加原理，即可任意方便地进行主波束指向控制，且可实现对干扰区旁瓣抑制，具有高度的准确性与灵活度</w:t>
      </w:r>
      <w:r>
        <w:rPr>
          <w:rFonts w:hint="eastAsia"/>
          <w:lang w:eastAsia="zh-CN"/>
        </w:rPr>
        <w:t>；</w:t>
      </w:r>
    </w:p>
    <w:p w14:paraId="10455D3B">
      <w:pPr>
        <w:pStyle w:val="174"/>
        <w:numPr>
          <w:ilvl w:val="0"/>
          <w:numId w:val="39"/>
        </w:numPr>
      </w:pPr>
      <w:r>
        <w:rPr>
          <w:rFonts w:hint="eastAsia"/>
        </w:rPr>
        <w:t>能对储氢气瓶碳纤维复合材料缠绕层的体积类缺陷进行识别、位置扫描以及定量分析。</w:t>
      </w:r>
    </w:p>
    <w:p w14:paraId="50165329">
      <w:pPr>
        <w:pStyle w:val="164"/>
      </w:pPr>
      <w:r>
        <w:rPr>
          <w:rFonts w:hint="eastAsia"/>
        </w:rPr>
        <w:t>局限性：</w:t>
      </w:r>
    </w:p>
    <w:p w14:paraId="3094DFB8">
      <w:pPr>
        <w:pStyle w:val="174"/>
        <w:numPr>
          <w:ilvl w:val="0"/>
          <w:numId w:val="40"/>
        </w:numPr>
      </w:pPr>
      <w:r>
        <w:rPr>
          <w:rFonts w:hint="eastAsia"/>
        </w:rPr>
        <w:t>系统开发较为复杂，系统对检测人员要求较高；</w:t>
      </w:r>
    </w:p>
    <w:p w14:paraId="0381249D">
      <w:pPr>
        <w:pStyle w:val="174"/>
        <w:numPr>
          <w:ilvl w:val="0"/>
          <w:numId w:val="40"/>
        </w:numPr>
      </w:pPr>
      <w:r>
        <w:rPr>
          <w:rFonts w:hint="eastAsia"/>
        </w:rPr>
        <w:t>对于碳纤维分层较多的储氢瓶需要用更复杂的编码</w:t>
      </w:r>
      <w:r>
        <w:rPr>
          <w:rFonts w:hint="eastAsia"/>
          <w:lang w:eastAsia="zh-CN"/>
        </w:rPr>
        <w:t>。</w:t>
      </w:r>
    </w:p>
    <w:p w14:paraId="0C6650E9">
      <w:pPr>
        <w:pStyle w:val="65"/>
        <w:spacing w:before="156" w:after="156"/>
      </w:pPr>
      <w:r>
        <w:rPr>
          <w:rFonts w:hint="eastAsia"/>
        </w:rPr>
        <w:t>X射线数字成像检测</w:t>
      </w:r>
    </w:p>
    <w:p w14:paraId="4C3AC51F">
      <w:pPr>
        <w:pStyle w:val="164"/>
      </w:pPr>
      <w:r>
        <w:rPr>
          <w:rFonts w:hint="eastAsia"/>
        </w:rPr>
        <w:t>能力范围：</w:t>
      </w:r>
    </w:p>
    <w:p w14:paraId="05A9253C">
      <w:pPr>
        <w:pStyle w:val="174"/>
        <w:numPr>
          <w:ilvl w:val="0"/>
          <w:numId w:val="41"/>
        </w:numPr>
      </w:pPr>
      <w:r>
        <w:rPr>
          <w:rFonts w:hint="eastAsia"/>
        </w:rPr>
        <w:t>能非破坏性用于复合材料及铝内胆的不连续定位和识别</w:t>
      </w:r>
      <w:r>
        <w:rPr>
          <w:rFonts w:hint="eastAsia"/>
          <w:lang w:eastAsia="zh-CN"/>
        </w:rPr>
        <w:t>。</w:t>
      </w:r>
    </w:p>
    <w:p w14:paraId="450622A6">
      <w:pPr>
        <w:pStyle w:val="164"/>
      </w:pPr>
      <w:r>
        <w:rPr>
          <w:rFonts w:hint="eastAsia"/>
        </w:rPr>
        <w:t>局限性：</w:t>
      </w:r>
    </w:p>
    <w:p w14:paraId="176C0875">
      <w:pPr>
        <w:pStyle w:val="174"/>
        <w:numPr>
          <w:ilvl w:val="0"/>
          <w:numId w:val="42"/>
        </w:numPr>
      </w:pPr>
      <w:r>
        <w:rPr>
          <w:rFonts w:hint="eastAsia"/>
        </w:rPr>
        <w:t>系统开发较为复杂，系统对检测人员要求较高；</w:t>
      </w:r>
    </w:p>
    <w:p w14:paraId="268D354A">
      <w:pPr>
        <w:pStyle w:val="174"/>
        <w:numPr>
          <w:ilvl w:val="0"/>
          <w:numId w:val="42"/>
        </w:numPr>
      </w:pPr>
      <w:r>
        <w:rPr>
          <w:rFonts w:hint="eastAsia"/>
        </w:rPr>
        <w:t>对检测过程中安全防护等级要求较高。</w:t>
      </w:r>
    </w:p>
    <w:p w14:paraId="0168B125">
      <w:pPr>
        <w:pStyle w:val="65"/>
        <w:spacing w:before="156" w:after="156"/>
      </w:pPr>
      <w:r>
        <w:rPr>
          <w:rFonts w:hint="eastAsia"/>
        </w:rPr>
        <w:t>光纤健康监测</w:t>
      </w:r>
    </w:p>
    <w:p w14:paraId="681E73EA">
      <w:pPr>
        <w:pStyle w:val="164"/>
      </w:pPr>
      <w:r>
        <w:rPr>
          <w:rFonts w:hint="eastAsia"/>
        </w:rPr>
        <w:t>能力范围：</w:t>
      </w:r>
    </w:p>
    <w:p w14:paraId="59D5465C">
      <w:pPr>
        <w:pStyle w:val="174"/>
        <w:numPr>
          <w:ilvl w:val="0"/>
          <w:numId w:val="43"/>
        </w:numPr>
      </w:pPr>
      <w:r>
        <w:rPr>
          <w:rFonts w:hint="eastAsia"/>
        </w:rPr>
        <w:t>适用于位移、应变、振动等多种物理参数的高精度、长时间在线监测；</w:t>
      </w:r>
    </w:p>
    <w:p w14:paraId="243D677F">
      <w:pPr>
        <w:pStyle w:val="174"/>
        <w:numPr>
          <w:ilvl w:val="0"/>
          <w:numId w:val="43"/>
        </w:numPr>
      </w:pPr>
      <w:r>
        <w:rPr>
          <w:rFonts w:hint="eastAsia"/>
        </w:rPr>
        <w:t>本质安全，无燃爆风险，具有较强的抗电磁干扰能力；</w:t>
      </w:r>
    </w:p>
    <w:p w14:paraId="2E931E5D">
      <w:pPr>
        <w:pStyle w:val="174"/>
        <w:numPr>
          <w:ilvl w:val="0"/>
          <w:numId w:val="43"/>
        </w:numPr>
      </w:pPr>
      <w:r>
        <w:rPr>
          <w:rFonts w:hint="eastAsia"/>
        </w:rPr>
        <w:t>复用能力强，具有分布式监测能力，可以通过单一光纤实现多点监测。</w:t>
      </w:r>
    </w:p>
    <w:p w14:paraId="0FEB8096">
      <w:pPr>
        <w:pStyle w:val="164"/>
      </w:pPr>
      <w:r>
        <w:rPr>
          <w:rFonts w:hint="eastAsia"/>
        </w:rPr>
        <w:t>局限性：</w:t>
      </w:r>
    </w:p>
    <w:p w14:paraId="6399A41B">
      <w:pPr>
        <w:pStyle w:val="174"/>
        <w:numPr>
          <w:ilvl w:val="0"/>
          <w:numId w:val="44"/>
        </w:numPr>
      </w:pPr>
      <w:r>
        <w:rPr>
          <w:rFonts w:hint="eastAsia"/>
        </w:rPr>
        <w:t>光纤光栅传感器存在应变和温度参数交叉敏感的问题，解调难度较大；</w:t>
      </w:r>
    </w:p>
    <w:p w14:paraId="6CA1BE65">
      <w:pPr>
        <w:pStyle w:val="174"/>
        <w:numPr>
          <w:ilvl w:val="0"/>
          <w:numId w:val="44"/>
        </w:numPr>
      </w:pPr>
      <w:r>
        <w:rPr>
          <w:rFonts w:hint="eastAsia"/>
        </w:rPr>
        <w:t>光纤的抗弯折性较差，安装过程中易损坏光纤传感器；</w:t>
      </w:r>
    </w:p>
    <w:p w14:paraId="406DBCA1">
      <w:pPr>
        <w:pStyle w:val="174"/>
        <w:numPr>
          <w:ilvl w:val="0"/>
          <w:numId w:val="44"/>
        </w:numPr>
      </w:pPr>
      <w:r>
        <w:rPr>
          <w:rFonts w:hint="eastAsia"/>
        </w:rPr>
        <w:t>光纤光栅应变传感器的生产成本与后续解调成本较为昂贵，难以普及。</w:t>
      </w:r>
    </w:p>
    <w:p w14:paraId="124227FC">
      <w:pPr>
        <w:pStyle w:val="104"/>
        <w:spacing w:before="312" w:after="312"/>
      </w:pPr>
      <w:bookmarkStart w:id="73" w:name="_Toc129620122"/>
      <w:bookmarkStart w:id="74" w:name="_Toc127892276"/>
      <w:bookmarkStart w:id="75" w:name="_Toc127892267"/>
      <w:r>
        <w:rPr>
          <w:rFonts w:hint="eastAsia"/>
        </w:rPr>
        <w:t>无损检测质量管理和安全防护</w:t>
      </w:r>
      <w:bookmarkEnd w:id="73"/>
      <w:bookmarkEnd w:id="74"/>
      <w:bookmarkEnd w:id="75"/>
    </w:p>
    <w:p w14:paraId="0F04A8B2">
      <w:pPr>
        <w:pStyle w:val="162"/>
      </w:pPr>
      <w:r>
        <w:rPr>
          <w:rFonts w:hint="eastAsia"/>
        </w:rPr>
        <w:t>检测单位应建立无损检测质量管理制度、加强无损检测质量控制。</w:t>
      </w:r>
    </w:p>
    <w:p w14:paraId="40C86658">
      <w:pPr>
        <w:pStyle w:val="162"/>
      </w:pPr>
      <w:r>
        <w:rPr>
          <w:rFonts w:hint="eastAsia"/>
        </w:rPr>
        <w:t>无损检测质量管理应包括以下内容：</w:t>
      </w:r>
    </w:p>
    <w:p w14:paraId="630B01DA">
      <w:pPr>
        <w:pStyle w:val="174"/>
        <w:numPr>
          <w:ilvl w:val="0"/>
          <w:numId w:val="45"/>
        </w:numPr>
      </w:pPr>
      <w:r>
        <w:rPr>
          <w:rFonts w:hint="eastAsia"/>
        </w:rPr>
        <w:t>无损检测人员；</w:t>
      </w:r>
    </w:p>
    <w:p w14:paraId="3852F7C4">
      <w:pPr>
        <w:pStyle w:val="174"/>
      </w:pPr>
      <w:r>
        <w:rPr>
          <w:rFonts w:hint="eastAsia"/>
        </w:rPr>
        <w:t>无损检测设备器材；</w:t>
      </w:r>
    </w:p>
    <w:p w14:paraId="61F7DF6F">
      <w:pPr>
        <w:pStyle w:val="174"/>
      </w:pPr>
      <w:r>
        <w:rPr>
          <w:rFonts w:hint="eastAsia"/>
        </w:rPr>
        <w:t>无损检测工艺文件；</w:t>
      </w:r>
    </w:p>
    <w:p w14:paraId="7D439F3B">
      <w:pPr>
        <w:pStyle w:val="174"/>
      </w:pPr>
      <w:r>
        <w:rPr>
          <w:rFonts w:hint="eastAsia"/>
        </w:rPr>
        <w:t>无损检测场所和环境；</w:t>
      </w:r>
    </w:p>
    <w:p w14:paraId="26408895">
      <w:pPr>
        <w:pStyle w:val="174"/>
      </w:pPr>
      <w:r>
        <w:rPr>
          <w:rFonts w:hint="eastAsia"/>
        </w:rPr>
        <w:t>无损检测的实施；</w:t>
      </w:r>
    </w:p>
    <w:p w14:paraId="14C47035">
      <w:pPr>
        <w:pStyle w:val="174"/>
      </w:pPr>
      <w:r>
        <w:rPr>
          <w:rFonts w:hint="eastAsia"/>
        </w:rPr>
        <w:t>无损检测资料和档案</w:t>
      </w:r>
      <w:r>
        <w:rPr>
          <w:rFonts w:hint="eastAsia"/>
          <w:lang w:eastAsia="zh-CN"/>
        </w:rPr>
        <w:t>。</w:t>
      </w:r>
    </w:p>
    <w:p w14:paraId="212A2AC8">
      <w:pPr>
        <w:pStyle w:val="105"/>
        <w:spacing w:before="156" w:after="156"/>
      </w:pPr>
      <w:r>
        <w:rPr>
          <w:rFonts w:hint="eastAsia"/>
        </w:rPr>
        <w:t>安全防护措施至少应考虑如下因素</w:t>
      </w:r>
    </w:p>
    <w:p w14:paraId="22C71FCC">
      <w:pPr>
        <w:pStyle w:val="165"/>
      </w:pPr>
      <w:r>
        <w:rPr>
          <w:rFonts w:hint="eastAsia"/>
        </w:rPr>
        <w:t>储氢气瓶定期检验过程中，应考虑氢气的易爆性，检测前应将瓶内氢气排空并置换。瓶内气体质量符合相应标准要求后，方可进行无损检测。</w:t>
      </w:r>
    </w:p>
    <w:p w14:paraId="7EE8C1BE">
      <w:pPr>
        <w:pStyle w:val="165"/>
      </w:pPr>
      <w:r>
        <w:rPr>
          <w:rFonts w:hint="eastAsia"/>
        </w:rPr>
        <w:t>储氢气瓶进行在线无损检测/监测的，应考虑相应无损检测/监测设备及其连接线、探头等附件的防爆特性。</w:t>
      </w:r>
    </w:p>
    <w:p w14:paraId="67735BB2">
      <w:pPr>
        <w:pStyle w:val="165"/>
      </w:pPr>
      <w:r>
        <w:rPr>
          <w:rFonts w:hint="eastAsia"/>
        </w:rPr>
        <w:t>本文件介绍的部分无损检测方法会产生或附带产生放射性辐射、电磁辐射等有害因素。在实施无损检测/监测时，应根据可能产生的有害物质的种类，按有关法规或标准的要求进行必要的防护和监测，对相关的无损检测人员应采取必要的劳动保护措施。</w:t>
      </w:r>
    </w:p>
    <w:p w14:paraId="4F115DF2">
      <w:pPr>
        <w:pStyle w:val="104"/>
        <w:spacing w:before="312" w:after="312"/>
      </w:pPr>
      <w:bookmarkStart w:id="76" w:name="_Toc129620123"/>
      <w:bookmarkStart w:id="77" w:name="_Toc127892268"/>
      <w:bookmarkStart w:id="78" w:name="_Toc127892277"/>
      <w:r>
        <w:rPr>
          <w:rFonts w:hint="eastAsia"/>
        </w:rPr>
        <w:t>无损检测资料和档案</w:t>
      </w:r>
      <w:bookmarkEnd w:id="76"/>
      <w:bookmarkEnd w:id="77"/>
      <w:bookmarkEnd w:id="78"/>
    </w:p>
    <w:p w14:paraId="684DEBB2">
      <w:pPr>
        <w:pStyle w:val="162"/>
      </w:pPr>
      <w:r>
        <w:rPr>
          <w:rFonts w:hint="eastAsia"/>
        </w:rPr>
        <w:t>无损检测档案</w:t>
      </w:r>
    </w:p>
    <w:p w14:paraId="10580341">
      <w:pPr>
        <w:pStyle w:val="56"/>
        <w:ind w:firstLine="420"/>
      </w:pPr>
      <w:r>
        <w:rPr>
          <w:rFonts w:hint="eastAsia"/>
        </w:rPr>
        <w:t>检测单位应建立完整的无损检测档案、至少应包括以下内容：</w:t>
      </w:r>
    </w:p>
    <w:p w14:paraId="1B818432">
      <w:pPr>
        <w:pStyle w:val="174"/>
        <w:numPr>
          <w:ilvl w:val="0"/>
          <w:numId w:val="46"/>
        </w:numPr>
      </w:pPr>
      <w:r>
        <w:rPr>
          <w:rFonts w:hint="eastAsia"/>
        </w:rPr>
        <w:t>无损检测委托单或检验检测合同；</w:t>
      </w:r>
    </w:p>
    <w:p w14:paraId="52B932C0">
      <w:pPr>
        <w:pStyle w:val="174"/>
      </w:pPr>
      <w:r>
        <w:rPr>
          <w:rFonts w:hint="eastAsia"/>
        </w:rPr>
        <w:t>无损检测工艺文件；</w:t>
      </w:r>
    </w:p>
    <w:p w14:paraId="25DCDF9F">
      <w:pPr>
        <w:pStyle w:val="174"/>
      </w:pPr>
      <w:r>
        <w:rPr>
          <w:rFonts w:hint="eastAsia"/>
        </w:rPr>
        <w:t>无损检测记录；</w:t>
      </w:r>
    </w:p>
    <w:p w14:paraId="257B9182">
      <w:pPr>
        <w:pStyle w:val="174"/>
      </w:pPr>
      <w:r>
        <w:rPr>
          <w:rFonts w:hint="eastAsia"/>
        </w:rPr>
        <w:t>无损检测报告。</w:t>
      </w:r>
      <w:bookmarkStart w:id="79" w:name="_Toc127892269"/>
      <w:bookmarkStart w:id="80" w:name="_Toc127892278"/>
    </w:p>
    <w:p w14:paraId="7F4A3053">
      <w:pPr>
        <w:pStyle w:val="105"/>
        <w:spacing w:before="156" w:after="156"/>
      </w:pPr>
      <w:r>
        <w:rPr>
          <w:rFonts w:hint="eastAsia"/>
        </w:rPr>
        <w:t>无损检测工艺文件</w:t>
      </w:r>
    </w:p>
    <w:p w14:paraId="707320D2">
      <w:pPr>
        <w:pStyle w:val="165"/>
      </w:pPr>
      <w:r>
        <w:rPr>
          <w:rFonts w:hint="eastAsia"/>
        </w:rPr>
        <w:t>无损检测工艺文件包括工艺规程和操作指导书。</w:t>
      </w:r>
    </w:p>
    <w:p w14:paraId="4D2313D0">
      <w:pPr>
        <w:pStyle w:val="165"/>
      </w:pPr>
      <w:bookmarkStart w:id="81" w:name="OLE_LINK12"/>
      <w:r>
        <w:rPr>
          <w:rFonts w:hint="eastAsia"/>
        </w:rPr>
        <w:t>无损检测工艺文件及操作指导书应符合</w:t>
      </w:r>
      <w:r>
        <w:rPr>
          <w:rFonts w:hint="eastAsia"/>
          <w:highlight w:val="yellow"/>
        </w:rPr>
        <w:t>NB/T 47013.1</w:t>
      </w:r>
      <w:r>
        <w:rPr>
          <w:rFonts w:hint="eastAsia"/>
        </w:rPr>
        <w:t>的相关要求。</w:t>
      </w:r>
      <w:bookmarkEnd w:id="81"/>
    </w:p>
    <w:p w14:paraId="071F0235">
      <w:pPr>
        <w:pStyle w:val="165"/>
      </w:pPr>
      <w:r>
        <w:rPr>
          <w:rFonts w:hint="eastAsia"/>
        </w:rPr>
        <w:t>无损检测工艺文件的编制、审核及批准应符合相关法规或标准的规定。</w:t>
      </w:r>
    </w:p>
    <w:p w14:paraId="1FB4CEB5">
      <w:pPr>
        <w:pStyle w:val="105"/>
        <w:spacing w:before="156" w:after="156"/>
      </w:pPr>
      <w:r>
        <w:rPr>
          <w:rFonts w:hint="eastAsia"/>
        </w:rPr>
        <w:t>无损检测记录</w:t>
      </w:r>
    </w:p>
    <w:p w14:paraId="7D9FE8D9">
      <w:pPr>
        <w:pStyle w:val="165"/>
      </w:pPr>
      <w:r>
        <w:rPr>
          <w:rFonts w:hint="eastAsia"/>
        </w:rPr>
        <w:t>无损检测记录应符合</w:t>
      </w:r>
      <w:r>
        <w:rPr>
          <w:rFonts w:hint="eastAsia"/>
          <w:highlight w:val="yellow"/>
        </w:rPr>
        <w:t>NB/T 47013.1</w:t>
      </w:r>
      <w:r>
        <w:rPr>
          <w:rFonts w:hint="eastAsia"/>
        </w:rPr>
        <w:t>的相关要求。</w:t>
      </w:r>
    </w:p>
    <w:p w14:paraId="10CA8B6D">
      <w:pPr>
        <w:pStyle w:val="165"/>
      </w:pPr>
      <w:r>
        <w:rPr>
          <w:rFonts w:hint="eastAsia"/>
        </w:rPr>
        <w:t>无损检测记录应真实、准确、完整、有效，并经相应责任人员签字认可。</w:t>
      </w:r>
    </w:p>
    <w:p w14:paraId="29716F7E">
      <w:pPr>
        <w:pStyle w:val="165"/>
      </w:pPr>
      <w:r>
        <w:rPr>
          <w:rFonts w:hint="eastAsia"/>
        </w:rPr>
        <w:t>无损检测记录的保存期应符合相关法规标准的要求，且不得少于7年。</w:t>
      </w:r>
    </w:p>
    <w:p w14:paraId="158E4B84">
      <w:pPr>
        <w:pStyle w:val="105"/>
        <w:spacing w:before="156" w:after="156"/>
      </w:pPr>
      <w:r>
        <w:rPr>
          <w:rFonts w:hint="eastAsia"/>
        </w:rPr>
        <w:t>无损检测报告</w:t>
      </w:r>
    </w:p>
    <w:p w14:paraId="65DDE877">
      <w:pPr>
        <w:pStyle w:val="165"/>
      </w:pPr>
      <w:r>
        <w:rPr>
          <w:rFonts w:hint="eastAsia"/>
        </w:rPr>
        <w:t>无损检测报告应符合</w:t>
      </w:r>
      <w:r>
        <w:rPr>
          <w:rFonts w:hint="eastAsia"/>
          <w:highlight w:val="yellow"/>
        </w:rPr>
        <w:t>NB/T 47013.1</w:t>
      </w:r>
      <w:r>
        <w:rPr>
          <w:rFonts w:hint="eastAsia"/>
        </w:rPr>
        <w:t>的相关要求。</w:t>
      </w:r>
    </w:p>
    <w:p w14:paraId="229A5FC3">
      <w:pPr>
        <w:pStyle w:val="165"/>
      </w:pPr>
      <w:r>
        <w:rPr>
          <w:rFonts w:hint="eastAsia"/>
        </w:rPr>
        <w:t>无损检测报告还应</w:t>
      </w:r>
      <w:bookmarkStart w:id="82" w:name="OLE_LINK13"/>
      <w:r>
        <w:rPr>
          <w:rFonts w:hint="eastAsia"/>
        </w:rPr>
        <w:t>符合</w:t>
      </w:r>
      <w:bookmarkEnd w:id="82"/>
      <w:r>
        <w:rPr>
          <w:rFonts w:hint="eastAsia"/>
        </w:rPr>
        <w:t>本文件附录A- 附录F的有关要求。</w:t>
      </w:r>
    </w:p>
    <w:p w14:paraId="01834CD9">
      <w:pPr>
        <w:pStyle w:val="165"/>
      </w:pPr>
      <w:r>
        <w:rPr>
          <w:rFonts w:hint="eastAsia"/>
        </w:rPr>
        <w:t>无损检测报告的编制、审核应符合相关法规或标准的规定。</w:t>
      </w:r>
    </w:p>
    <w:p w14:paraId="74AE02B3">
      <w:pPr>
        <w:pStyle w:val="165"/>
      </w:pPr>
      <w:r>
        <w:rPr>
          <w:rFonts w:hint="eastAsia"/>
        </w:rPr>
        <w:t>无损检测报告的保存期应符合相关法规标准的要求，且不得少于7年。</w:t>
      </w:r>
    </w:p>
    <w:p w14:paraId="1089EB4A">
      <w:pPr>
        <w:pStyle w:val="104"/>
        <w:spacing w:before="312" w:after="312"/>
      </w:pPr>
      <w:bookmarkStart w:id="83" w:name="_Toc129620124"/>
      <w:r>
        <w:rPr>
          <w:rFonts w:hint="eastAsia"/>
        </w:rPr>
        <w:t>健康监测</w:t>
      </w:r>
      <w:bookmarkEnd w:id="79"/>
      <w:bookmarkEnd w:id="80"/>
      <w:bookmarkEnd w:id="83"/>
    </w:p>
    <w:p w14:paraId="16143F2A">
      <w:pPr>
        <w:pStyle w:val="162"/>
      </w:pPr>
      <w:r>
        <w:rPr>
          <w:rFonts w:hint="eastAsia"/>
        </w:rPr>
        <w:t>本文件推荐了基于光纤光栅的碳纤维复合材料储氢气瓶的结构健康监测装置。装置具体要求可见附录G。</w:t>
      </w:r>
    </w:p>
    <w:p w14:paraId="21C7FA76">
      <w:pPr>
        <w:pStyle w:val="180"/>
      </w:pPr>
      <w:r>
        <w:rPr>
          <w:rFonts w:hint="eastAsia"/>
        </w:rPr>
        <w:t>健康监测不局限于该种方法。</w:t>
      </w:r>
    </w:p>
    <w:p w14:paraId="0FE0504B">
      <w:pPr>
        <w:pStyle w:val="180"/>
      </w:pPr>
      <w:r>
        <w:rPr>
          <w:rFonts w:hint="eastAsia"/>
        </w:rPr>
        <w:t>该种健康监测方法不仅适用于</w:t>
      </w:r>
      <w:r>
        <w:rPr>
          <w:rFonts w:hint="eastAsia" w:hAnsi="宋体"/>
        </w:rPr>
        <w:t>Ⅲ</w:t>
      </w:r>
      <w:r>
        <w:rPr>
          <w:rFonts w:hint="eastAsia"/>
        </w:rPr>
        <w:t>型瓶。</w:t>
      </w:r>
    </w:p>
    <w:p w14:paraId="2B751567">
      <w:pPr>
        <w:pStyle w:val="162"/>
      </w:pPr>
      <w:r>
        <w:rPr>
          <w:rFonts w:hint="eastAsia"/>
        </w:rPr>
        <w:t>健康监测是利用光纤光栅应变传感器对应变变化的高精度感知以及长时间监测的特性，采用螺旋布设或者复合布设方式，将光纤光栅应变传感器安装到储氢气瓶的铝内胆外壁表面，结合信号解调与数据处理方法，实现对铝内胆应变的实时长时间在线监测。</w:t>
      </w:r>
    </w:p>
    <w:p w14:paraId="41541829">
      <w:pPr>
        <w:pStyle w:val="162"/>
        <w:sectPr>
          <w:headerReference r:id="rId12" w:type="default"/>
          <w:footerReference r:id="rId14" w:type="default"/>
          <w:headerReference r:id="rId13" w:type="even"/>
          <w:footerReference r:id="rId15" w:type="even"/>
          <w:pgSz w:w="11906" w:h="16838"/>
          <w:pgMar w:top="1928" w:right="1134" w:bottom="1134" w:left="1134" w:header="1418" w:footer="1134" w:gutter="284"/>
          <w:cols w:space="425" w:num="1"/>
          <w:formProt w:val="0"/>
          <w:docGrid w:type="lines" w:linePitch="312" w:charSpace="0"/>
        </w:sectPr>
      </w:pPr>
    </w:p>
    <w:bookmarkEnd w:id="23"/>
    <w:p w14:paraId="612BDCF3">
      <w:pPr>
        <w:pStyle w:val="198"/>
        <w:rPr>
          <w:rFonts w:hint="eastAsia"/>
        </w:rPr>
      </w:pPr>
      <w:bookmarkStart w:id="84" w:name="BookMark5"/>
    </w:p>
    <w:p w14:paraId="6AC83F2D">
      <w:pPr>
        <w:pStyle w:val="199"/>
      </w:pPr>
    </w:p>
    <w:p w14:paraId="1F2C8694">
      <w:pPr>
        <w:pStyle w:val="76"/>
        <w:spacing w:after="156"/>
      </w:pPr>
      <w:r>
        <w:br w:type="textWrapping"/>
      </w:r>
      <w:bookmarkStart w:id="85" w:name="_Toc129620125"/>
      <w:r>
        <w:rPr>
          <w:rFonts w:hint="eastAsia"/>
        </w:rPr>
        <w:t>（规范性）</w:t>
      </w:r>
      <w:r>
        <w:br w:type="textWrapping"/>
      </w:r>
      <w:r>
        <w:rPr>
          <w:rFonts w:hint="eastAsia"/>
        </w:rPr>
        <w:t>目视检测</w:t>
      </w:r>
      <w:bookmarkEnd w:id="85"/>
    </w:p>
    <w:p w14:paraId="0A339E88">
      <w:pPr>
        <w:pStyle w:val="78"/>
        <w:spacing w:before="156" w:after="156"/>
      </w:pPr>
      <w:r>
        <w:rPr>
          <w:rFonts w:hint="eastAsia"/>
        </w:rPr>
        <w:t>范围</w:t>
      </w:r>
    </w:p>
    <w:p w14:paraId="795574CF">
      <w:pPr>
        <w:pStyle w:val="212"/>
        <w:ind w:left="0"/>
      </w:pPr>
      <w:r>
        <w:rPr>
          <w:rFonts w:hint="eastAsia"/>
        </w:rPr>
        <w:t>本附录规定了储氢气瓶的目视检测方法。</w:t>
      </w:r>
    </w:p>
    <w:p w14:paraId="5E6F2C3F">
      <w:pPr>
        <w:pStyle w:val="212"/>
        <w:ind w:left="0"/>
      </w:pPr>
      <w:r>
        <w:rPr>
          <w:rFonts w:hint="eastAsia"/>
        </w:rPr>
        <w:t>部分适用于在制和在用储氢气瓶的目视检测，对于与储氢气瓶有关的支承件和结构件等的目视检测，也可参照执行。</w:t>
      </w:r>
    </w:p>
    <w:p w14:paraId="6A016140">
      <w:pPr>
        <w:pStyle w:val="212"/>
        <w:ind w:left="0"/>
      </w:pPr>
      <w:r>
        <w:rPr>
          <w:rFonts w:hint="eastAsia"/>
        </w:rPr>
        <w:t>本部分不适用于其他无损检测方法中的目视观察活动。</w:t>
      </w:r>
    </w:p>
    <w:p w14:paraId="51FCB176">
      <w:pPr>
        <w:pStyle w:val="78"/>
        <w:spacing w:before="156" w:after="156"/>
      </w:pPr>
      <w:bookmarkStart w:id="86" w:name="_Toc128063494"/>
      <w:r>
        <w:rPr>
          <w:rFonts w:hint="eastAsia"/>
        </w:rPr>
        <w:t>规范性引用文件</w:t>
      </w:r>
      <w:bookmarkEnd w:id="86"/>
    </w:p>
    <w:sdt>
      <w:sdtPr>
        <w:rPr>
          <w:rFonts w:hint="eastAsia"/>
        </w:rPr>
        <w:id w:val="-1523312668"/>
        <w:placeholder>
          <w:docPart w:val="2E0A4C5A977E4F39B9950F60AC7F68E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6630D435">
          <w:pPr>
            <w:pStyle w:val="56"/>
            <w:ind w:firstLine="420"/>
          </w:pPr>
          <w:bookmarkStart w:id="87" w:name="_Hlk129594911"/>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bookmarkEnd w:id="87"/>
    <w:p w14:paraId="7A49D502">
      <w:pPr>
        <w:widowControl/>
        <w:autoSpaceDE w:val="0"/>
        <w:autoSpaceDN w:val="0"/>
        <w:adjustRightInd/>
        <w:spacing w:line="240" w:lineRule="auto"/>
        <w:ind w:firstLine="420" w:firstLineChars="200"/>
        <w:rPr>
          <w:rFonts w:ascii="宋体" w:hAnsi="Times New Roman"/>
          <w:color w:val="auto"/>
          <w:kern w:val="0"/>
          <w:szCs w:val="20"/>
        </w:rPr>
      </w:pPr>
      <w:r>
        <w:rPr>
          <w:rFonts w:hint="eastAsia" w:ascii="宋体" w:hAnsi="Times New Roman"/>
          <w:color w:val="auto"/>
          <w:kern w:val="0"/>
          <w:szCs w:val="20"/>
        </w:rPr>
        <w:t>GB 11533</w:t>
      </w:r>
      <w:r>
        <w:rPr>
          <w:rFonts w:hint="eastAsia" w:ascii="宋体" w:hAnsi="Times New Roman"/>
          <w:color w:val="auto"/>
          <w:kern w:val="0"/>
          <w:szCs w:val="20"/>
          <w:lang w:val="en-US" w:eastAsia="zh-CN"/>
        </w:rPr>
        <w:t>-2011</w:t>
      </w:r>
      <w:r>
        <w:rPr>
          <w:rFonts w:hint="eastAsia" w:ascii="宋体" w:hAnsi="Times New Roman"/>
          <w:color w:val="auto"/>
          <w:kern w:val="0"/>
          <w:szCs w:val="20"/>
        </w:rPr>
        <w:t xml:space="preserve"> 标准对数视力表</w:t>
      </w:r>
    </w:p>
    <w:p w14:paraId="7D7DB32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color w:val="auto"/>
          <w:kern w:val="0"/>
          <w:szCs w:val="20"/>
        </w:rPr>
        <w:t>GB/T 20737</w:t>
      </w:r>
      <w:r>
        <w:rPr>
          <w:rFonts w:hint="eastAsia" w:ascii="宋体" w:hAnsi="Times New Roman"/>
          <w:color w:val="auto"/>
          <w:kern w:val="0"/>
          <w:szCs w:val="20"/>
          <w:lang w:val="en-US" w:eastAsia="zh-CN"/>
        </w:rPr>
        <w:t>-2006</w:t>
      </w:r>
      <w:r>
        <w:rPr>
          <w:rFonts w:hint="eastAsia" w:ascii="宋体" w:hAnsi="Times New Roman"/>
          <w:color w:val="auto"/>
          <w:kern w:val="0"/>
          <w:szCs w:val="20"/>
        </w:rPr>
        <w:t xml:space="preserve"> 无损检</w:t>
      </w:r>
      <w:r>
        <w:rPr>
          <w:rFonts w:hint="eastAsia" w:ascii="宋体" w:hAnsi="Times New Roman"/>
          <w:kern w:val="0"/>
          <w:szCs w:val="20"/>
        </w:rPr>
        <w:t>测 通用术语和定义</w:t>
      </w:r>
    </w:p>
    <w:p w14:paraId="51D4C934">
      <w:pPr>
        <w:pStyle w:val="78"/>
        <w:spacing w:before="156" w:after="156"/>
      </w:pPr>
      <w:bookmarkStart w:id="88" w:name="_Toc128063495"/>
      <w:r>
        <w:rPr>
          <w:rFonts w:hint="eastAsia"/>
        </w:rPr>
        <w:t>术语和定义</w:t>
      </w:r>
      <w:bookmarkEnd w:id="88"/>
    </w:p>
    <w:sdt>
      <w:sdtPr>
        <w:id w:val="1653030917"/>
        <w:placeholder>
          <w:docPart w:val="48CB34920A9F41ED8103998F0789D6F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6B37ADEC">
          <w:pPr>
            <w:pStyle w:val="56"/>
            <w:ind w:firstLine="420"/>
            <w:rPr>
              <w:rFonts w:ascii="Calibri" w:hAnsi="Calibri"/>
              <w:kern w:val="2"/>
              <w:szCs w:val="21"/>
            </w:rPr>
          </w:pPr>
          <w:r>
            <w:t>GB/T 20737界定的以及下列术语和定义适用于本文件。</w:t>
          </w:r>
        </w:p>
      </w:sdtContent>
    </w:sdt>
    <w:p w14:paraId="5218355D">
      <w:pPr>
        <w:pStyle w:val="79"/>
        <w:spacing w:before="156" w:after="156"/>
        <w:ind w:left="0"/>
      </w:pPr>
    </w:p>
    <w:p w14:paraId="05C409BB">
      <w:pPr>
        <w:pStyle w:val="56"/>
        <w:ind w:firstLine="420"/>
      </w:pPr>
      <w:bookmarkStart w:id="89" w:name="_Hlk129595486"/>
      <w:r>
        <w:rPr>
          <w:rFonts w:hint="eastAsia" w:ascii="黑体" w:hAnsi="黑体" w:eastAsia="黑体"/>
          <w:kern w:val="2"/>
          <w:szCs w:val="21"/>
        </w:rPr>
        <w:t>目视检测</w:t>
      </w:r>
      <w:bookmarkEnd w:id="89"/>
    </w:p>
    <w:p w14:paraId="4CB5EF59">
      <w:pPr>
        <w:pStyle w:val="56"/>
        <w:ind w:firstLine="420"/>
      </w:pPr>
      <w:r>
        <w:rPr>
          <w:rFonts w:hint="eastAsia"/>
        </w:rPr>
        <w:t>观察、分析和评价被检件状况的一种无损检测方法，它仅指用人的眼睛或借助于某种目视辅助器材对被检件进行的检测。</w:t>
      </w:r>
    </w:p>
    <w:p w14:paraId="7AAC0DCF">
      <w:pPr>
        <w:pStyle w:val="79"/>
        <w:spacing w:before="156" w:after="156"/>
        <w:ind w:left="0"/>
        <w:rPr>
          <w:rFonts w:hint="eastAsia" w:hAnsi="黑体"/>
        </w:rPr>
      </w:pPr>
    </w:p>
    <w:p w14:paraId="359AAE4B">
      <w:pPr>
        <w:pStyle w:val="56"/>
        <w:ind w:firstLine="420"/>
      </w:pPr>
      <w:bookmarkStart w:id="90" w:name="_Hlk129595551"/>
      <w:r>
        <w:rPr>
          <w:rFonts w:hint="eastAsia" w:ascii="黑体" w:hAnsi="黑体" w:eastAsia="黑体"/>
        </w:rPr>
        <w:t>直接目视检测</w:t>
      </w:r>
      <w:bookmarkEnd w:id="90"/>
    </w:p>
    <w:p w14:paraId="0A1D42E6">
      <w:pPr>
        <w:pStyle w:val="56"/>
        <w:ind w:firstLine="420"/>
      </w:pPr>
      <w:r>
        <w:rPr>
          <w:rFonts w:hint="eastAsia"/>
        </w:rPr>
        <w:t>不借助于目视辅助器材（照明光源、反光镜、放大镜除外），用眼睛进行检测的一种目视检测技术。</w:t>
      </w:r>
    </w:p>
    <w:p w14:paraId="1F9C2841">
      <w:pPr>
        <w:pStyle w:val="79"/>
        <w:spacing w:before="156" w:after="156"/>
        <w:ind w:left="0"/>
        <w:rPr>
          <w:rFonts w:hint="eastAsia" w:hAnsi="黑体"/>
        </w:rPr>
      </w:pPr>
    </w:p>
    <w:p w14:paraId="44C11004">
      <w:pPr>
        <w:pStyle w:val="56"/>
        <w:ind w:firstLine="420"/>
      </w:pPr>
      <w:bookmarkStart w:id="91" w:name="_Hlk129595661"/>
      <w:r>
        <w:rPr>
          <w:rFonts w:hint="eastAsia" w:ascii="黑体" w:hAnsi="黑体" w:eastAsia="黑体"/>
        </w:rPr>
        <w:t>间接目视检测</w:t>
      </w:r>
      <w:bookmarkEnd w:id="91"/>
    </w:p>
    <w:p w14:paraId="3D905174">
      <w:pPr>
        <w:pStyle w:val="56"/>
        <w:ind w:firstLine="420"/>
      </w:pPr>
      <w:r>
        <w:rPr>
          <w:rFonts w:hint="eastAsia"/>
        </w:rPr>
        <w:t>借助于反光镜、望远镜、内窥镜、光导纤维、照相机、视频系统、自动系统、机器人以及其他适合的目视辅助器材，对难以进行直接目视观测的被检部位或区域进行检测的一种目视检测技术。</w:t>
      </w:r>
    </w:p>
    <w:p w14:paraId="6491AD79">
      <w:pPr>
        <w:pStyle w:val="79"/>
        <w:spacing w:before="156" w:after="156"/>
        <w:ind w:left="0"/>
        <w:rPr>
          <w:rFonts w:hint="eastAsia" w:hAnsi="黑体"/>
        </w:rPr>
      </w:pPr>
    </w:p>
    <w:p w14:paraId="43B8EF19">
      <w:pPr>
        <w:pStyle w:val="56"/>
        <w:ind w:firstLine="420"/>
      </w:pPr>
      <w:bookmarkStart w:id="92" w:name="_Hlk129595737"/>
      <w:r>
        <w:rPr>
          <w:rFonts w:hint="eastAsia" w:ascii="黑体" w:hAnsi="黑体" w:eastAsia="黑体"/>
        </w:rPr>
        <w:t>辅助照明</w:t>
      </w:r>
      <w:bookmarkEnd w:id="92"/>
    </w:p>
    <w:p w14:paraId="28B95A64">
      <w:pPr>
        <w:pStyle w:val="56"/>
        <w:ind w:firstLine="420"/>
      </w:pPr>
      <w:r>
        <w:rPr>
          <w:rFonts w:hint="eastAsia"/>
        </w:rPr>
        <w:t>为了改善目视检测观察条件和识别，用作目视检测辅助器材的人工照明光源。</w:t>
      </w:r>
    </w:p>
    <w:p w14:paraId="69CD6CAB">
      <w:pPr>
        <w:pStyle w:val="79"/>
        <w:spacing w:before="156" w:after="156"/>
        <w:ind w:left="0"/>
      </w:pPr>
    </w:p>
    <w:p w14:paraId="08CEBAC2">
      <w:pPr>
        <w:pStyle w:val="56"/>
        <w:ind w:firstLine="420"/>
        <w:rPr>
          <w:rFonts w:hint="eastAsia" w:ascii="黑体" w:hAnsi="黑体" w:eastAsia="黑体"/>
        </w:rPr>
      </w:pPr>
      <w:r>
        <w:rPr>
          <w:rFonts w:hint="eastAsia" w:ascii="黑体" w:hAnsi="黑体" w:eastAsia="黑体"/>
        </w:rPr>
        <w:t>表面眩光</w:t>
      </w:r>
    </w:p>
    <w:p w14:paraId="7DDF67C2">
      <w:pPr>
        <w:pStyle w:val="56"/>
        <w:ind w:firstLine="420"/>
      </w:pPr>
      <w:r>
        <w:rPr>
          <w:rFonts w:hint="eastAsia"/>
        </w:rPr>
        <w:t>干扰目视检测的人工照明光源的反射光。</w:t>
      </w:r>
    </w:p>
    <w:p w14:paraId="7E9C8205">
      <w:pPr>
        <w:pStyle w:val="78"/>
        <w:spacing w:before="156" w:after="156"/>
      </w:pPr>
      <w:bookmarkStart w:id="93" w:name="_Toc128063496"/>
      <w:r>
        <w:rPr>
          <w:rFonts w:hint="eastAsia"/>
        </w:rPr>
        <w:t>一般要求</w:t>
      </w:r>
      <w:bookmarkEnd w:id="93"/>
    </w:p>
    <w:p w14:paraId="55350675">
      <w:pPr>
        <w:pStyle w:val="79"/>
        <w:spacing w:before="156" w:after="156"/>
        <w:ind w:left="0"/>
      </w:pPr>
      <w:bookmarkStart w:id="94" w:name="_Toc128063497"/>
      <w:r>
        <w:rPr>
          <w:rFonts w:hint="eastAsia"/>
        </w:rPr>
        <w:t>概述</w:t>
      </w:r>
      <w:bookmarkEnd w:id="94"/>
    </w:p>
    <w:p w14:paraId="6E458E18">
      <w:pPr>
        <w:pStyle w:val="56"/>
        <w:ind w:firstLine="420"/>
      </w:pPr>
      <w:r>
        <w:rPr>
          <w:rFonts w:hint="eastAsia"/>
        </w:rPr>
        <w:t>目视检测的一般要求除应符合</w:t>
      </w:r>
      <w:r>
        <w:rPr>
          <w:rFonts w:hint="eastAsia"/>
          <w:highlight w:val="yellow"/>
        </w:rPr>
        <w:t>NB/T 47013.1</w:t>
      </w:r>
      <w:r>
        <w:rPr>
          <w:rFonts w:hint="eastAsia"/>
        </w:rPr>
        <w:t>的有关规定外，还应符合A4.2-A4.4的规定。</w:t>
      </w:r>
    </w:p>
    <w:p w14:paraId="7D691584">
      <w:pPr>
        <w:pStyle w:val="79"/>
        <w:spacing w:before="156" w:after="156"/>
        <w:ind w:left="0"/>
      </w:pPr>
      <w:bookmarkStart w:id="95" w:name="_Toc128063498"/>
      <w:r>
        <w:rPr>
          <w:rFonts w:hint="eastAsia"/>
        </w:rPr>
        <w:t>检测人员</w:t>
      </w:r>
      <w:bookmarkEnd w:id="95"/>
    </w:p>
    <w:p w14:paraId="436B713F">
      <w:pPr>
        <w:pStyle w:val="213"/>
        <w:ind w:left="0"/>
      </w:pPr>
      <w:r>
        <w:rPr>
          <w:rFonts w:hint="eastAsia"/>
        </w:rPr>
        <w:t>目视检测人员未经矫正或经矫正的近（距）视力和远（距）视力应不低于5.0（小数记录值为1.0），测试方法应符合</w:t>
      </w:r>
      <w:r>
        <w:rPr>
          <w:rFonts w:hint="eastAsia"/>
          <w:highlight w:val="yellow"/>
        </w:rPr>
        <w:t>GB11533</w:t>
      </w:r>
      <w:r>
        <w:rPr>
          <w:rFonts w:hint="eastAsia"/>
        </w:rPr>
        <w:t>的规定。检测人员应每12个月检查一次视力，以保证正常的或正确的近距离分辨能力。</w:t>
      </w:r>
    </w:p>
    <w:p w14:paraId="0BE46750">
      <w:pPr>
        <w:pStyle w:val="213"/>
        <w:ind w:left="0"/>
      </w:pPr>
      <w:r>
        <w:rPr>
          <w:rFonts w:hint="eastAsia"/>
        </w:rPr>
        <w:t>如果检测可能对辨色力有特别要求经合同各方同意，检测人员宜补充辨色力测试，以保证必要的辩色力。</w:t>
      </w:r>
    </w:p>
    <w:p w14:paraId="545C3157">
      <w:pPr>
        <w:pStyle w:val="79"/>
        <w:spacing w:before="156" w:after="156"/>
        <w:ind w:left="0"/>
      </w:pPr>
      <w:bookmarkStart w:id="96" w:name="_Toc128063499"/>
      <w:r>
        <w:rPr>
          <w:rFonts w:hint="eastAsia"/>
        </w:rPr>
        <w:t>工艺规程</w:t>
      </w:r>
      <w:bookmarkEnd w:id="96"/>
    </w:p>
    <w:p w14:paraId="6FDDC92B">
      <w:pPr>
        <w:pStyle w:val="213"/>
        <w:ind w:left="0"/>
      </w:pPr>
      <w:r>
        <w:rPr>
          <w:rFonts w:hint="eastAsia"/>
        </w:rPr>
        <w:t>应按NB/T 47013.1的要求制定目视检测工艺规程，目视检测工艺规程应至少包括如下内容：</w:t>
      </w:r>
    </w:p>
    <w:p w14:paraId="2A7B6C69">
      <w:pPr>
        <w:pStyle w:val="174"/>
        <w:numPr>
          <w:ilvl w:val="0"/>
          <w:numId w:val="47"/>
        </w:numPr>
      </w:pPr>
      <w:r>
        <w:rPr>
          <w:rFonts w:hint="eastAsia"/>
        </w:rPr>
        <w:t>适用范围；</w:t>
      </w:r>
    </w:p>
    <w:p w14:paraId="5BFAC04D">
      <w:pPr>
        <w:pStyle w:val="174"/>
      </w:pPr>
      <w:r>
        <w:rPr>
          <w:rFonts w:hint="eastAsia"/>
        </w:rPr>
        <w:t>引用法规、标准；</w:t>
      </w:r>
    </w:p>
    <w:p w14:paraId="3DB020BD">
      <w:pPr>
        <w:pStyle w:val="174"/>
      </w:pPr>
      <w:r>
        <w:rPr>
          <w:rFonts w:hint="eastAsia"/>
        </w:rPr>
        <w:t>检测人员资格；</w:t>
      </w:r>
    </w:p>
    <w:p w14:paraId="28E4D98A">
      <w:pPr>
        <w:pStyle w:val="174"/>
      </w:pPr>
      <w:r>
        <w:rPr>
          <w:rFonts w:hint="eastAsia"/>
        </w:rPr>
        <w:t>检测器材；</w:t>
      </w:r>
    </w:p>
    <w:p w14:paraId="6E7A45AB">
      <w:pPr>
        <w:pStyle w:val="174"/>
      </w:pPr>
      <w:r>
        <w:rPr>
          <w:rFonts w:hint="eastAsia"/>
        </w:rPr>
        <w:t>观察方法；</w:t>
      </w:r>
    </w:p>
    <w:p w14:paraId="63CF9659">
      <w:pPr>
        <w:pStyle w:val="174"/>
      </w:pPr>
      <w:r>
        <w:rPr>
          <w:rFonts w:hint="eastAsia"/>
        </w:rPr>
        <w:t>被检件、位置、可接近性和几何形状；</w:t>
      </w:r>
    </w:p>
    <w:p w14:paraId="2DC7BD75">
      <w:pPr>
        <w:pStyle w:val="174"/>
      </w:pPr>
      <w:r>
        <w:rPr>
          <w:rFonts w:hint="eastAsia"/>
        </w:rPr>
        <w:t>检测覆盖范围；</w:t>
      </w:r>
    </w:p>
    <w:p w14:paraId="62BC0546">
      <w:pPr>
        <w:pStyle w:val="174"/>
      </w:pPr>
      <w:r>
        <w:rPr>
          <w:rFonts w:hint="eastAsia"/>
        </w:rPr>
        <w:t>被检表面结构情况；</w:t>
      </w:r>
    </w:p>
    <w:p w14:paraId="62232B1D">
      <w:pPr>
        <w:pStyle w:val="174"/>
      </w:pPr>
      <w:r>
        <w:rPr>
          <w:rFonts w:hint="eastAsia"/>
        </w:rPr>
        <w:t>被检表面照明要求；</w:t>
      </w:r>
    </w:p>
    <w:p w14:paraId="7A39EBD2">
      <w:pPr>
        <w:pStyle w:val="174"/>
      </w:pPr>
      <w:r>
        <w:rPr>
          <w:rFonts w:hint="eastAsia"/>
        </w:rPr>
        <w:t>检测时机；</w:t>
      </w:r>
    </w:p>
    <w:p w14:paraId="1B18D3E6">
      <w:pPr>
        <w:pStyle w:val="174"/>
      </w:pPr>
      <w:r>
        <w:rPr>
          <w:rFonts w:hint="eastAsia"/>
        </w:rPr>
        <w:t>检测技术；</w:t>
      </w:r>
    </w:p>
    <w:p w14:paraId="2285D4BB">
      <w:pPr>
        <w:pStyle w:val="174"/>
      </w:pPr>
      <w:r>
        <w:rPr>
          <w:rFonts w:hint="eastAsia"/>
        </w:rPr>
        <w:t>检测结果的评定；</w:t>
      </w:r>
    </w:p>
    <w:p w14:paraId="033EC9ED">
      <w:pPr>
        <w:pStyle w:val="174"/>
      </w:pPr>
      <w:r>
        <w:rPr>
          <w:rFonts w:hint="eastAsia"/>
        </w:rPr>
        <w:t>检测记录、报告和资料存档；</w:t>
      </w:r>
    </w:p>
    <w:p w14:paraId="1AD54139">
      <w:pPr>
        <w:pStyle w:val="174"/>
      </w:pPr>
      <w:r>
        <w:rPr>
          <w:rFonts w:hint="eastAsia"/>
        </w:rPr>
        <w:t>编制、审核和批准人员；</w:t>
      </w:r>
    </w:p>
    <w:p w14:paraId="0233DD10">
      <w:pPr>
        <w:pStyle w:val="174"/>
      </w:pPr>
      <w:r>
        <w:rPr>
          <w:rFonts w:hint="eastAsia"/>
        </w:rPr>
        <w:t>编制日期。</w:t>
      </w:r>
    </w:p>
    <w:p w14:paraId="4785A5B6">
      <w:pPr>
        <w:pStyle w:val="81"/>
        <w:spacing w:before="156" w:after="156"/>
        <w:ind w:left="0"/>
      </w:pPr>
      <w:r>
        <w:rPr>
          <w:rFonts w:hint="eastAsia"/>
        </w:rPr>
        <w:t>工艺验证</w:t>
      </w:r>
    </w:p>
    <w:p w14:paraId="0CB83023">
      <w:pPr>
        <w:pStyle w:val="214"/>
        <w:ind w:left="0"/>
      </w:pPr>
      <w:r>
        <w:rPr>
          <w:rFonts w:hint="eastAsia"/>
        </w:rPr>
        <w:t>应采用验证试样来验证目视检测工艺规程。</w:t>
      </w:r>
    </w:p>
    <w:p w14:paraId="1AB45F85">
      <w:pPr>
        <w:pStyle w:val="214"/>
        <w:ind w:left="0"/>
      </w:pPr>
      <w:r>
        <w:rPr>
          <w:rFonts w:hint="eastAsia"/>
        </w:rPr>
        <w:t>储氢气瓶铝内胆可采用铝合金验证试样。铝合金验证试样可采用一条宽度小于或等于0.8mm的细线或其他类似人工缺陷。验证试样应光照条件、表面结构反差比和可接近性等方面与被检件相似的表面，且宜放在被检区域中最难以观察到的部位。铝合金验证试样宜采用内窥镜进行观察。</w:t>
      </w:r>
    </w:p>
    <w:p w14:paraId="796EBDE9">
      <w:pPr>
        <w:pStyle w:val="214"/>
        <w:ind w:left="0"/>
      </w:pPr>
      <w:r>
        <w:rPr>
          <w:rFonts w:hint="eastAsia"/>
        </w:rPr>
        <w:t>储氢气瓶碳纤维/玻璃纤维缠绕层应根据储氢气瓶的制造/缠绕方式制作专门的试样，试样至少应设置磨损、划伤、冲击损伤、分层、火烧及化学品腐蚀等模拟缺陷。其中磨损、划伤及冲击损伤的模拟缺陷应根据表A.1进行设置。</w:t>
      </w:r>
    </w:p>
    <w:p w14:paraId="14C12758">
      <w:pPr>
        <w:pStyle w:val="214"/>
        <w:ind w:left="0"/>
      </w:pPr>
      <w:r>
        <w:rPr>
          <w:rFonts w:hint="eastAsia"/>
        </w:rPr>
        <w:t>当检测技术、观察方法、被检表面结构情况、被检表面照明要求或验证试样等对检测灵敏度有严重影响的因素发生改变时，工艺规程应重新进行验证。</w:t>
      </w:r>
    </w:p>
    <w:p w14:paraId="510F2406">
      <w:pPr>
        <w:pStyle w:val="79"/>
        <w:spacing w:before="156" w:after="156"/>
        <w:ind w:left="0"/>
      </w:pPr>
      <w:bookmarkStart w:id="97" w:name="_Toc128063500"/>
      <w:r>
        <w:rPr>
          <w:rFonts w:hint="eastAsia"/>
        </w:rPr>
        <w:t>设备和器材</w:t>
      </w:r>
      <w:bookmarkEnd w:id="97"/>
    </w:p>
    <w:p w14:paraId="4CE5D7D7">
      <w:pPr>
        <w:pStyle w:val="109"/>
        <w:numPr>
          <w:ilvl w:val="1"/>
          <w:numId w:val="48"/>
        </w:numPr>
      </w:pPr>
      <w:r>
        <w:rPr>
          <w:rFonts w:hint="eastAsia"/>
        </w:rPr>
        <w:t>目视检测使用的设备和器材包括：直接目视检测和间接目视检测使用的器材</w:t>
      </w:r>
      <w:r>
        <w:rPr>
          <w:rFonts w:hint="eastAsia"/>
          <w:lang w:eastAsia="zh-CN"/>
        </w:rPr>
        <w:t>；</w:t>
      </w:r>
    </w:p>
    <w:p w14:paraId="28962EE5">
      <w:pPr>
        <w:pStyle w:val="109"/>
      </w:pPr>
      <w:r>
        <w:rPr>
          <w:rFonts w:hint="eastAsia"/>
        </w:rPr>
        <w:t>直接目视检测器材主要有：照明光源、反光镜和低倍放大镜</w:t>
      </w:r>
      <w:r>
        <w:rPr>
          <w:rFonts w:hint="eastAsia"/>
          <w:lang w:eastAsia="zh-CN"/>
        </w:rPr>
        <w:t>；</w:t>
      </w:r>
    </w:p>
    <w:p w14:paraId="2491CE3A">
      <w:pPr>
        <w:pStyle w:val="109"/>
      </w:pPr>
      <w:r>
        <w:rPr>
          <w:rFonts w:hint="eastAsia"/>
        </w:rPr>
        <w:t>间接目视检测器材主要有：照明光源、反光镜、望远镜、内窥镜、光导纤维、照相机、视频系统、自动系统、机器人以及其他适合的目视辅助器材</w:t>
      </w:r>
      <w:r>
        <w:rPr>
          <w:rFonts w:hint="eastAsia"/>
          <w:lang w:eastAsia="zh-CN"/>
        </w:rPr>
        <w:t>；</w:t>
      </w:r>
    </w:p>
    <w:p w14:paraId="2D6F519A">
      <w:pPr>
        <w:pStyle w:val="109"/>
      </w:pPr>
      <w:r>
        <w:rPr>
          <w:rFonts w:hint="eastAsia"/>
        </w:rPr>
        <w:t>目视检测器材应达到规定的性能要求和安全要求。</w:t>
      </w:r>
    </w:p>
    <w:p w14:paraId="229A3DDD">
      <w:pPr>
        <w:pStyle w:val="78"/>
        <w:spacing w:before="156" w:after="156"/>
      </w:pPr>
      <w:r>
        <w:rPr>
          <w:rFonts w:hint="eastAsia"/>
        </w:rPr>
        <w:t>检测</w:t>
      </w:r>
    </w:p>
    <w:p w14:paraId="1244149D">
      <w:pPr>
        <w:pStyle w:val="56"/>
        <w:ind w:firstLine="420"/>
      </w:pPr>
      <w:r>
        <w:rPr>
          <w:rFonts w:hint="eastAsia"/>
        </w:rPr>
        <w:t>气瓶的目视检测包括外部检测、内部检测和瓶口螺纹及密封面检测。</w:t>
      </w:r>
    </w:p>
    <w:p w14:paraId="58D78FE5">
      <w:pPr>
        <w:pStyle w:val="79"/>
        <w:spacing w:before="156" w:after="156"/>
        <w:ind w:left="0"/>
      </w:pPr>
      <w:bookmarkStart w:id="98" w:name="_Toc128063502"/>
      <w:r>
        <w:rPr>
          <w:rFonts w:hint="eastAsia"/>
        </w:rPr>
        <w:t>外部检测</w:t>
      </w:r>
      <w:bookmarkEnd w:id="98"/>
    </w:p>
    <w:p w14:paraId="60B81B42">
      <w:pPr>
        <w:pStyle w:val="56"/>
        <w:ind w:firstLine="420"/>
      </w:pPr>
      <w:r>
        <w:rPr>
          <w:rFonts w:hint="eastAsia"/>
        </w:rPr>
        <w:t>主要检测缠绕层是否存在损伤、分层、腐蚀、松动等问题，评定要求见表</w:t>
      </w:r>
      <w:r>
        <w:rPr>
          <w:rFonts w:hint="eastAsia"/>
          <w:lang w:val="en-US" w:eastAsia="zh-CN"/>
        </w:rPr>
        <w:t>A.</w:t>
      </w:r>
      <w:r>
        <w:rPr>
          <w:rFonts w:hint="eastAsia"/>
        </w:rPr>
        <w:t>1。</w:t>
      </w:r>
    </w:p>
    <w:p w14:paraId="11FA8F5E">
      <w:pPr>
        <w:pStyle w:val="79"/>
        <w:spacing w:before="156" w:after="156"/>
        <w:ind w:left="0"/>
      </w:pPr>
      <w:r>
        <w:rPr>
          <w:rFonts w:hint="eastAsia"/>
        </w:rPr>
        <w:t>内部检测</w:t>
      </w:r>
    </w:p>
    <w:p w14:paraId="545ABB33">
      <w:pPr>
        <w:pStyle w:val="56"/>
        <w:ind w:firstLine="420"/>
      </w:pPr>
      <w:r>
        <w:rPr>
          <w:rFonts w:hint="eastAsia"/>
        </w:rPr>
        <w:t>用内窥镜或专用强光电筒检验内壁质量情况，检查是否存在裂纹、变形、凹坑等缺陷，并记录上述缺陆存在的位置和检测数据。</w:t>
      </w:r>
    </w:p>
    <w:p w14:paraId="37CC7A41">
      <w:pPr>
        <w:pStyle w:val="79"/>
        <w:spacing w:before="156" w:after="156"/>
        <w:ind w:left="0"/>
      </w:pPr>
      <w:r>
        <w:rPr>
          <w:rFonts w:hint="eastAsia"/>
        </w:rPr>
        <w:t>瓶口螺纹及密封面检测</w:t>
      </w:r>
    </w:p>
    <w:p w14:paraId="3A7AEA94">
      <w:pPr>
        <w:pStyle w:val="109"/>
        <w:numPr>
          <w:ilvl w:val="1"/>
          <w:numId w:val="49"/>
        </w:numPr>
      </w:pPr>
      <w:r>
        <w:rPr>
          <w:rFonts w:hint="eastAsia"/>
        </w:rPr>
        <w:t>用目测或低倍放大镜检查螺纹有无裂纹、变形、腐蚀或其它机械损伤</w:t>
      </w:r>
      <w:r>
        <w:rPr>
          <w:rFonts w:hint="eastAsia"/>
          <w:lang w:eastAsia="zh-CN"/>
        </w:rPr>
        <w:t>；</w:t>
      </w:r>
    </w:p>
    <w:p w14:paraId="1885F6E0">
      <w:pPr>
        <w:pStyle w:val="109"/>
      </w:pPr>
      <w:r>
        <w:rPr>
          <w:rFonts w:hint="eastAsia"/>
        </w:rPr>
        <w:t>瓶口螺纹不得有裂纹性缺陷，但允许瓶口螺纹有不影响使用的轻微损伤， 即允许有不超过2牙的缺口，且缺口长度不超过圆周的1/6，缺口深度不超过牙高的1/3</w:t>
      </w:r>
      <w:r>
        <w:rPr>
          <w:rFonts w:hint="eastAsia"/>
          <w:lang w:eastAsia="zh-CN"/>
        </w:rPr>
        <w:t>；</w:t>
      </w:r>
    </w:p>
    <w:p w14:paraId="665CB14F">
      <w:pPr>
        <w:pStyle w:val="109"/>
      </w:pPr>
      <w:r>
        <w:rPr>
          <w:rFonts w:hint="eastAsia"/>
        </w:rPr>
        <w:t>目测检查（粗糙度对比样块）瓶口密封面质量，不得有划伤、磕伤，表面粗糙度不低于Ra1.6</w:t>
      </w:r>
      <w:r>
        <w:rPr>
          <w:rFonts w:hint="eastAsia"/>
          <w:lang w:eastAsia="zh-CN"/>
        </w:rPr>
        <w:t>；</w:t>
      </w:r>
    </w:p>
    <w:p w14:paraId="0D0B1DE9">
      <w:pPr>
        <w:pStyle w:val="109"/>
      </w:pPr>
      <w:r>
        <w:rPr>
          <w:rFonts w:hint="eastAsia"/>
        </w:rPr>
        <w:t>对于螺纹的轻度腐蚀、磨损或其他损伤可用符合其相应标准的丝锥进行修复，修复后用符合其相应标准的量规检查</w:t>
      </w:r>
      <w:r>
        <w:rPr>
          <w:rFonts w:hint="eastAsia"/>
          <w:lang w:eastAsia="zh-CN"/>
        </w:rPr>
        <w:t>；</w:t>
      </w:r>
    </w:p>
    <w:p w14:paraId="7E8730EF">
      <w:pPr>
        <w:pStyle w:val="109"/>
      </w:pPr>
      <w:r>
        <w:rPr>
          <w:rFonts w:hint="eastAsia"/>
        </w:rPr>
        <w:t>检查并记录密封面是否存在腐蚀、凹坑、变形等损伤。</w:t>
      </w:r>
    </w:p>
    <w:p w14:paraId="236D30FE">
      <w:pPr>
        <w:pStyle w:val="77"/>
        <w:spacing w:before="156" w:after="156"/>
      </w:pPr>
      <w:r>
        <w:rPr>
          <w:rFonts w:hint="eastAsia"/>
        </w:rPr>
        <w:t>损伤类型与评定要求</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2122"/>
        <w:gridCol w:w="1935"/>
        <w:gridCol w:w="1935"/>
        <w:gridCol w:w="1936"/>
      </w:tblGrid>
      <w:tr w14:paraId="46E87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Merge w:val="restart"/>
            <w:vAlign w:val="center"/>
          </w:tcPr>
          <w:p w14:paraId="2EFD56F8">
            <w:pPr>
              <w:adjustRightInd/>
              <w:spacing w:line="240" w:lineRule="auto"/>
              <w:jc w:val="center"/>
              <w:rPr>
                <w:sz w:val="18"/>
                <w:szCs w:val="18"/>
              </w:rPr>
            </w:pPr>
            <w:r>
              <w:rPr>
                <w:rFonts w:hint="eastAsia"/>
                <w:sz w:val="18"/>
                <w:szCs w:val="18"/>
              </w:rPr>
              <w:t>损伤类型</w:t>
            </w:r>
          </w:p>
        </w:tc>
        <w:tc>
          <w:tcPr>
            <w:tcW w:w="2122" w:type="dxa"/>
            <w:vMerge w:val="restart"/>
            <w:vAlign w:val="center"/>
          </w:tcPr>
          <w:p w14:paraId="47FE21A3">
            <w:pPr>
              <w:adjustRightInd/>
              <w:spacing w:line="240" w:lineRule="auto"/>
              <w:jc w:val="center"/>
              <w:rPr>
                <w:sz w:val="18"/>
                <w:szCs w:val="18"/>
              </w:rPr>
            </w:pPr>
            <w:r>
              <w:rPr>
                <w:rFonts w:hint="eastAsia"/>
                <w:sz w:val="18"/>
                <w:szCs w:val="18"/>
              </w:rPr>
              <w:t>描述</w:t>
            </w:r>
          </w:p>
        </w:tc>
        <w:tc>
          <w:tcPr>
            <w:tcW w:w="5806" w:type="dxa"/>
            <w:gridSpan w:val="3"/>
            <w:vAlign w:val="center"/>
          </w:tcPr>
          <w:p w14:paraId="7B5D573B">
            <w:pPr>
              <w:adjustRightInd/>
              <w:spacing w:line="240" w:lineRule="auto"/>
              <w:jc w:val="center"/>
              <w:rPr>
                <w:sz w:val="18"/>
                <w:szCs w:val="18"/>
              </w:rPr>
            </w:pPr>
            <w:r>
              <w:rPr>
                <w:rFonts w:hint="eastAsia"/>
                <w:sz w:val="18"/>
                <w:szCs w:val="18"/>
              </w:rPr>
              <w:t>损伤级别及评定标准</w:t>
            </w:r>
          </w:p>
        </w:tc>
      </w:tr>
      <w:tr w14:paraId="26108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Merge w:val="continue"/>
            <w:vAlign w:val="center"/>
          </w:tcPr>
          <w:p w14:paraId="60293606">
            <w:pPr>
              <w:adjustRightInd/>
              <w:spacing w:line="240" w:lineRule="auto"/>
              <w:jc w:val="center"/>
              <w:rPr>
                <w:sz w:val="18"/>
                <w:szCs w:val="18"/>
              </w:rPr>
            </w:pPr>
          </w:p>
        </w:tc>
        <w:tc>
          <w:tcPr>
            <w:tcW w:w="2122" w:type="dxa"/>
            <w:vMerge w:val="continue"/>
            <w:vAlign w:val="center"/>
          </w:tcPr>
          <w:p w14:paraId="280A7386">
            <w:pPr>
              <w:adjustRightInd/>
              <w:spacing w:line="240" w:lineRule="auto"/>
              <w:jc w:val="center"/>
              <w:rPr>
                <w:sz w:val="18"/>
                <w:szCs w:val="18"/>
              </w:rPr>
            </w:pPr>
          </w:p>
        </w:tc>
        <w:tc>
          <w:tcPr>
            <w:tcW w:w="1935" w:type="dxa"/>
            <w:vAlign w:val="center"/>
          </w:tcPr>
          <w:p w14:paraId="33FEB25F">
            <w:pPr>
              <w:adjustRightInd/>
              <w:spacing w:line="240" w:lineRule="auto"/>
              <w:jc w:val="center"/>
              <w:rPr>
                <w:sz w:val="18"/>
                <w:szCs w:val="18"/>
              </w:rPr>
            </w:pPr>
            <w:r>
              <w:rPr>
                <w:rFonts w:hint="eastAsia"/>
                <w:sz w:val="18"/>
                <w:szCs w:val="18"/>
              </w:rPr>
              <w:t>一级损伤</w:t>
            </w:r>
          </w:p>
        </w:tc>
        <w:tc>
          <w:tcPr>
            <w:tcW w:w="1935" w:type="dxa"/>
            <w:vAlign w:val="center"/>
          </w:tcPr>
          <w:p w14:paraId="4D0DC66B">
            <w:pPr>
              <w:adjustRightInd/>
              <w:spacing w:line="240" w:lineRule="auto"/>
              <w:jc w:val="center"/>
              <w:rPr>
                <w:sz w:val="18"/>
                <w:szCs w:val="18"/>
              </w:rPr>
            </w:pPr>
            <w:r>
              <w:rPr>
                <w:rFonts w:hint="eastAsia"/>
                <w:sz w:val="18"/>
                <w:szCs w:val="18"/>
              </w:rPr>
              <w:t>二级损伤</w:t>
            </w:r>
          </w:p>
        </w:tc>
        <w:tc>
          <w:tcPr>
            <w:tcW w:w="1936" w:type="dxa"/>
            <w:vAlign w:val="center"/>
          </w:tcPr>
          <w:p w14:paraId="2481E3E5">
            <w:pPr>
              <w:adjustRightInd/>
              <w:spacing w:line="240" w:lineRule="auto"/>
              <w:jc w:val="center"/>
              <w:rPr>
                <w:sz w:val="18"/>
                <w:szCs w:val="18"/>
              </w:rPr>
            </w:pPr>
            <w:r>
              <w:rPr>
                <w:rFonts w:hint="eastAsia"/>
                <w:sz w:val="18"/>
                <w:szCs w:val="18"/>
              </w:rPr>
              <w:t>三级损伤</w:t>
            </w:r>
          </w:p>
        </w:tc>
      </w:tr>
      <w:tr w14:paraId="78AB6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630BADC8">
            <w:pPr>
              <w:adjustRightInd/>
              <w:spacing w:line="240" w:lineRule="auto"/>
              <w:jc w:val="center"/>
              <w:rPr>
                <w:sz w:val="18"/>
                <w:szCs w:val="18"/>
              </w:rPr>
            </w:pPr>
            <w:r>
              <w:rPr>
                <w:rFonts w:hint="eastAsia"/>
                <w:sz w:val="18"/>
                <w:szCs w:val="18"/>
              </w:rPr>
              <w:t>磨损损伤</w:t>
            </w:r>
          </w:p>
        </w:tc>
        <w:tc>
          <w:tcPr>
            <w:tcW w:w="2122" w:type="dxa"/>
            <w:vAlign w:val="center"/>
          </w:tcPr>
          <w:p w14:paraId="5216B310">
            <w:pPr>
              <w:adjustRightInd/>
              <w:spacing w:line="240" w:lineRule="auto"/>
              <w:jc w:val="center"/>
              <w:rPr>
                <w:sz w:val="18"/>
                <w:szCs w:val="18"/>
              </w:rPr>
            </w:pPr>
            <w:r>
              <w:rPr>
                <w:rFonts w:hint="eastAsia"/>
                <w:sz w:val="18"/>
                <w:szCs w:val="18"/>
              </w:rPr>
              <w:t>与瓶外物体因磨损、研磨或摩擦而引起的损伤</w:t>
            </w:r>
          </w:p>
        </w:tc>
        <w:tc>
          <w:tcPr>
            <w:tcW w:w="1935" w:type="dxa"/>
            <w:vAlign w:val="center"/>
          </w:tcPr>
          <w:p w14:paraId="4BE04BBF">
            <w:pPr>
              <w:adjustRightInd/>
              <w:spacing w:line="240" w:lineRule="auto"/>
              <w:jc w:val="center"/>
              <w:rPr>
                <w:sz w:val="18"/>
                <w:szCs w:val="18"/>
              </w:rPr>
            </w:pPr>
            <w:r>
              <w:rPr>
                <w:rFonts w:hint="eastAsia"/>
                <w:sz w:val="18"/>
                <w:szCs w:val="18"/>
              </w:rPr>
              <w:t>玻璃纤维层轻微损伤，磨损深度小于0.25mm</w:t>
            </w:r>
          </w:p>
        </w:tc>
        <w:tc>
          <w:tcPr>
            <w:tcW w:w="1935" w:type="dxa"/>
            <w:vAlign w:val="center"/>
          </w:tcPr>
          <w:p w14:paraId="76C6BD8B">
            <w:pPr>
              <w:adjustRightInd/>
              <w:spacing w:line="240" w:lineRule="auto"/>
              <w:jc w:val="center"/>
              <w:rPr>
                <w:sz w:val="18"/>
                <w:szCs w:val="18"/>
              </w:rPr>
            </w:pPr>
            <w:r>
              <w:rPr>
                <w:rFonts w:hint="eastAsia"/>
                <w:sz w:val="18"/>
                <w:szCs w:val="18"/>
              </w:rPr>
              <w:t>磨损深度介于一级和三级损伤之间的程度，需要 制造厂家返修，否则判为三级</w:t>
            </w:r>
          </w:p>
        </w:tc>
        <w:tc>
          <w:tcPr>
            <w:tcW w:w="1936" w:type="dxa"/>
            <w:vAlign w:val="center"/>
          </w:tcPr>
          <w:p w14:paraId="4162718F">
            <w:pPr>
              <w:adjustRightInd/>
              <w:spacing w:line="240" w:lineRule="auto"/>
              <w:jc w:val="center"/>
              <w:rPr>
                <w:sz w:val="18"/>
                <w:szCs w:val="18"/>
              </w:rPr>
            </w:pPr>
            <w:r>
              <w:rPr>
                <w:rFonts w:hint="eastAsia"/>
                <w:sz w:val="18"/>
                <w:szCs w:val="18"/>
              </w:rPr>
              <w:t>碳纤维受损</w:t>
            </w:r>
          </w:p>
        </w:tc>
      </w:tr>
      <w:tr w14:paraId="1B780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61F74300">
            <w:pPr>
              <w:adjustRightInd/>
              <w:spacing w:line="240" w:lineRule="auto"/>
              <w:jc w:val="center"/>
              <w:rPr>
                <w:sz w:val="18"/>
                <w:szCs w:val="18"/>
              </w:rPr>
            </w:pPr>
            <w:r>
              <w:rPr>
                <w:rFonts w:hint="eastAsia"/>
                <w:sz w:val="18"/>
                <w:szCs w:val="18"/>
              </w:rPr>
              <w:t>划伤</w:t>
            </w:r>
          </w:p>
        </w:tc>
        <w:tc>
          <w:tcPr>
            <w:tcW w:w="2122" w:type="dxa"/>
            <w:vAlign w:val="center"/>
          </w:tcPr>
          <w:p w14:paraId="65D23123">
            <w:pPr>
              <w:adjustRightInd/>
              <w:spacing w:line="240" w:lineRule="auto"/>
              <w:jc w:val="center"/>
              <w:rPr>
                <w:sz w:val="18"/>
                <w:szCs w:val="18"/>
              </w:rPr>
            </w:pPr>
            <w:r>
              <w:rPr>
                <w:rFonts w:hint="eastAsia"/>
                <w:sz w:val="18"/>
                <w:szCs w:val="18"/>
              </w:rPr>
              <w:t>与锋利的物体接触而造成的损伤</w:t>
            </w:r>
          </w:p>
        </w:tc>
        <w:tc>
          <w:tcPr>
            <w:tcW w:w="1935" w:type="dxa"/>
            <w:vAlign w:val="center"/>
          </w:tcPr>
          <w:p w14:paraId="4BB3F942">
            <w:pPr>
              <w:adjustRightInd/>
              <w:spacing w:line="240" w:lineRule="auto"/>
              <w:jc w:val="center"/>
              <w:rPr>
                <w:sz w:val="18"/>
                <w:szCs w:val="18"/>
              </w:rPr>
            </w:pPr>
            <w:r>
              <w:rPr>
                <w:rFonts w:hint="eastAsia"/>
                <w:sz w:val="18"/>
                <w:szCs w:val="18"/>
              </w:rPr>
              <w:t>玻璃纤维层轻微损伤，划伤深度小于0.25mm</w:t>
            </w:r>
          </w:p>
        </w:tc>
        <w:tc>
          <w:tcPr>
            <w:tcW w:w="1935" w:type="dxa"/>
            <w:vAlign w:val="center"/>
          </w:tcPr>
          <w:p w14:paraId="526E483F">
            <w:pPr>
              <w:adjustRightInd/>
              <w:spacing w:line="240" w:lineRule="auto"/>
              <w:jc w:val="center"/>
              <w:rPr>
                <w:sz w:val="18"/>
                <w:szCs w:val="18"/>
              </w:rPr>
            </w:pPr>
            <w:r>
              <w:rPr>
                <w:rFonts w:hint="eastAsia"/>
                <w:sz w:val="18"/>
                <w:szCs w:val="18"/>
              </w:rPr>
              <w:t>深度介于一级和三级损伤之间的程度，需要制造厂家返修，否则判为三级</w:t>
            </w:r>
          </w:p>
        </w:tc>
        <w:tc>
          <w:tcPr>
            <w:tcW w:w="1936" w:type="dxa"/>
            <w:vAlign w:val="center"/>
          </w:tcPr>
          <w:p w14:paraId="6BD6689C">
            <w:pPr>
              <w:adjustRightInd/>
              <w:spacing w:line="240" w:lineRule="auto"/>
              <w:jc w:val="center"/>
              <w:rPr>
                <w:sz w:val="18"/>
                <w:szCs w:val="18"/>
              </w:rPr>
            </w:pPr>
            <w:r>
              <w:rPr>
                <w:rFonts w:hint="eastAsia"/>
                <w:sz w:val="18"/>
                <w:szCs w:val="18"/>
              </w:rPr>
              <w:t>碳纤维受损</w:t>
            </w:r>
          </w:p>
        </w:tc>
      </w:tr>
      <w:tr w14:paraId="3A110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678C1BBF">
            <w:pPr>
              <w:adjustRightInd/>
              <w:spacing w:line="240" w:lineRule="auto"/>
              <w:jc w:val="center"/>
              <w:rPr>
                <w:sz w:val="18"/>
                <w:szCs w:val="18"/>
              </w:rPr>
            </w:pPr>
            <w:r>
              <w:rPr>
                <w:rFonts w:hint="eastAsia"/>
                <w:sz w:val="18"/>
                <w:szCs w:val="18"/>
              </w:rPr>
              <w:t>冲击损伤</w:t>
            </w:r>
          </w:p>
        </w:tc>
        <w:tc>
          <w:tcPr>
            <w:tcW w:w="2122" w:type="dxa"/>
            <w:vAlign w:val="center"/>
          </w:tcPr>
          <w:p w14:paraId="05115DBC">
            <w:pPr>
              <w:adjustRightInd/>
              <w:spacing w:line="240" w:lineRule="auto"/>
              <w:jc w:val="center"/>
              <w:rPr>
                <w:sz w:val="18"/>
                <w:szCs w:val="18"/>
              </w:rPr>
            </w:pPr>
            <w:r>
              <w:rPr>
                <w:rFonts w:hint="eastAsia"/>
                <w:sz w:val="18"/>
                <w:szCs w:val="18"/>
              </w:rPr>
              <w:t>缠绕气瓶材料因受到冲击在树脂上出现“霜状”状态和“击碎”状态</w:t>
            </w:r>
          </w:p>
        </w:tc>
        <w:tc>
          <w:tcPr>
            <w:tcW w:w="1935" w:type="dxa"/>
            <w:vAlign w:val="center"/>
          </w:tcPr>
          <w:p w14:paraId="0645A5A1">
            <w:pPr>
              <w:adjustRightInd/>
              <w:spacing w:line="240" w:lineRule="auto"/>
              <w:jc w:val="center"/>
              <w:rPr>
                <w:sz w:val="18"/>
                <w:szCs w:val="18"/>
              </w:rPr>
            </w:pPr>
            <w:r>
              <w:rPr>
                <w:rFonts w:hint="eastAsia"/>
                <w:sz w:val="18"/>
                <w:szCs w:val="18"/>
              </w:rPr>
              <w:t>损伤区面积小于1cm</w:t>
            </w:r>
            <w:r>
              <w:rPr>
                <w:rFonts w:hint="eastAsia"/>
                <w:sz w:val="18"/>
                <w:szCs w:val="18"/>
                <w:vertAlign w:val="superscript"/>
              </w:rPr>
              <w:t>2</w:t>
            </w:r>
            <w:r>
              <w:rPr>
                <w:rFonts w:hint="eastAsia"/>
                <w:sz w:val="18"/>
                <w:szCs w:val="18"/>
              </w:rPr>
              <w:t>，并且没有其他的损伤</w:t>
            </w:r>
          </w:p>
        </w:tc>
        <w:tc>
          <w:tcPr>
            <w:tcW w:w="1935" w:type="dxa"/>
            <w:vAlign w:val="center"/>
          </w:tcPr>
          <w:p w14:paraId="38EFCB09">
            <w:pPr>
              <w:adjustRightInd/>
              <w:spacing w:line="240" w:lineRule="auto"/>
              <w:jc w:val="center"/>
              <w:rPr>
                <w:sz w:val="18"/>
                <w:szCs w:val="18"/>
              </w:rPr>
            </w:pPr>
            <w:r>
              <w:rPr>
                <w:rFonts w:hint="eastAsia"/>
                <w:sz w:val="18"/>
                <w:szCs w:val="18"/>
              </w:rPr>
              <w:t>霜状/损伤区域面积范围为1-5cm</w:t>
            </w:r>
            <w:r>
              <w:rPr>
                <w:rFonts w:hint="eastAsia"/>
                <w:sz w:val="18"/>
                <w:szCs w:val="18"/>
                <w:vertAlign w:val="superscript"/>
              </w:rPr>
              <w:t>2</w:t>
            </w:r>
          </w:p>
        </w:tc>
        <w:tc>
          <w:tcPr>
            <w:tcW w:w="1936" w:type="dxa"/>
            <w:vAlign w:val="center"/>
          </w:tcPr>
          <w:p w14:paraId="624CDEED">
            <w:pPr>
              <w:adjustRightInd/>
              <w:spacing w:line="240" w:lineRule="auto"/>
              <w:jc w:val="center"/>
              <w:rPr>
                <w:sz w:val="18"/>
                <w:szCs w:val="18"/>
              </w:rPr>
            </w:pPr>
            <w:r>
              <w:rPr>
                <w:rFonts w:hint="eastAsia"/>
                <w:sz w:val="18"/>
                <w:szCs w:val="18"/>
              </w:rPr>
              <w:t>损伤区面积大于5cm</w:t>
            </w:r>
            <w:r>
              <w:rPr>
                <w:rFonts w:hint="eastAsia"/>
                <w:sz w:val="18"/>
                <w:szCs w:val="18"/>
                <w:vertAlign w:val="superscript"/>
              </w:rPr>
              <w:t>2</w:t>
            </w:r>
            <w:r>
              <w:rPr>
                <w:rFonts w:hint="eastAsia"/>
                <w:sz w:val="18"/>
                <w:szCs w:val="18"/>
              </w:rPr>
              <w:t>或出现碳纤维暴露、气瓶永久变形</w:t>
            </w:r>
          </w:p>
        </w:tc>
      </w:tr>
      <w:tr w14:paraId="1190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3B776CD9">
            <w:pPr>
              <w:adjustRightInd/>
              <w:spacing w:line="240" w:lineRule="auto"/>
              <w:jc w:val="center"/>
              <w:rPr>
                <w:sz w:val="18"/>
                <w:szCs w:val="18"/>
              </w:rPr>
            </w:pPr>
            <w:r>
              <w:rPr>
                <w:rFonts w:hint="eastAsia"/>
                <w:sz w:val="18"/>
                <w:szCs w:val="18"/>
              </w:rPr>
              <w:t>分层</w:t>
            </w:r>
          </w:p>
        </w:tc>
        <w:tc>
          <w:tcPr>
            <w:tcW w:w="2122" w:type="dxa"/>
            <w:vAlign w:val="center"/>
          </w:tcPr>
          <w:p w14:paraId="6F97A23C">
            <w:pPr>
              <w:adjustRightInd/>
              <w:spacing w:line="240" w:lineRule="auto"/>
              <w:jc w:val="center"/>
              <w:rPr>
                <w:sz w:val="18"/>
                <w:szCs w:val="18"/>
              </w:rPr>
            </w:pPr>
            <w:r>
              <w:rPr>
                <w:rFonts w:hint="eastAsia"/>
                <w:sz w:val="18"/>
                <w:szCs w:val="18"/>
              </w:rPr>
              <w:t>在缠绕层之间发生分离的损伤</w:t>
            </w:r>
          </w:p>
        </w:tc>
        <w:tc>
          <w:tcPr>
            <w:tcW w:w="1935" w:type="dxa"/>
            <w:vAlign w:val="center"/>
          </w:tcPr>
          <w:p w14:paraId="2737DD19">
            <w:pPr>
              <w:adjustRightInd/>
              <w:spacing w:line="240" w:lineRule="auto"/>
              <w:jc w:val="center"/>
              <w:rPr>
                <w:sz w:val="18"/>
                <w:szCs w:val="18"/>
              </w:rPr>
            </w:pPr>
            <w:r>
              <w:rPr>
                <w:rFonts w:hint="eastAsia"/>
                <w:sz w:val="18"/>
                <w:szCs w:val="18"/>
              </w:rPr>
              <w:t>无分层</w:t>
            </w:r>
          </w:p>
        </w:tc>
        <w:tc>
          <w:tcPr>
            <w:tcW w:w="1935" w:type="dxa"/>
            <w:vAlign w:val="center"/>
          </w:tcPr>
          <w:p w14:paraId="2529C0F4">
            <w:pPr>
              <w:adjustRightInd/>
              <w:spacing w:line="240" w:lineRule="auto"/>
              <w:jc w:val="center"/>
              <w:rPr>
                <w:sz w:val="18"/>
                <w:szCs w:val="18"/>
              </w:rPr>
            </w:pPr>
            <w:r>
              <w:rPr>
                <w:rFonts w:hint="eastAsia"/>
                <w:sz w:val="18"/>
                <w:szCs w:val="18"/>
              </w:rPr>
              <w:t>—</w:t>
            </w:r>
          </w:p>
        </w:tc>
        <w:tc>
          <w:tcPr>
            <w:tcW w:w="1936" w:type="dxa"/>
            <w:vAlign w:val="center"/>
          </w:tcPr>
          <w:p w14:paraId="4DDC254F">
            <w:pPr>
              <w:adjustRightInd/>
              <w:spacing w:line="240" w:lineRule="auto"/>
              <w:jc w:val="center"/>
              <w:rPr>
                <w:sz w:val="18"/>
                <w:szCs w:val="18"/>
              </w:rPr>
            </w:pPr>
            <w:r>
              <w:rPr>
                <w:rFonts w:hint="eastAsia"/>
                <w:sz w:val="18"/>
                <w:szCs w:val="18"/>
              </w:rPr>
              <w:t>缠绕层材料分层</w:t>
            </w:r>
          </w:p>
        </w:tc>
      </w:tr>
      <w:tr w14:paraId="63620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62D92BFE">
            <w:pPr>
              <w:adjustRightInd/>
              <w:spacing w:line="240" w:lineRule="auto"/>
              <w:jc w:val="center"/>
              <w:rPr>
                <w:sz w:val="18"/>
                <w:szCs w:val="18"/>
              </w:rPr>
            </w:pPr>
            <w:r>
              <w:rPr>
                <w:rFonts w:hint="eastAsia"/>
                <w:sz w:val="18"/>
                <w:szCs w:val="18"/>
              </w:rPr>
              <w:t>热、火损伤</w:t>
            </w:r>
          </w:p>
        </w:tc>
        <w:tc>
          <w:tcPr>
            <w:tcW w:w="2122" w:type="dxa"/>
            <w:vAlign w:val="center"/>
          </w:tcPr>
          <w:p w14:paraId="40798A03">
            <w:pPr>
              <w:adjustRightInd/>
              <w:spacing w:line="240" w:lineRule="auto"/>
              <w:jc w:val="center"/>
              <w:rPr>
                <w:sz w:val="18"/>
                <w:szCs w:val="18"/>
              </w:rPr>
            </w:pPr>
            <w:r>
              <w:rPr>
                <w:rFonts w:hint="eastAsia"/>
                <w:sz w:val="18"/>
                <w:szCs w:val="18"/>
              </w:rPr>
              <w:t>因受热、火焰烘烤致缠绕层发生褪色、烧焦、树脂松动等现象</w:t>
            </w:r>
          </w:p>
        </w:tc>
        <w:tc>
          <w:tcPr>
            <w:tcW w:w="1935" w:type="dxa"/>
            <w:vAlign w:val="center"/>
          </w:tcPr>
          <w:p w14:paraId="11B06DA9">
            <w:pPr>
              <w:adjustRightInd/>
              <w:spacing w:line="240" w:lineRule="auto"/>
              <w:jc w:val="center"/>
              <w:rPr>
                <w:sz w:val="18"/>
                <w:szCs w:val="18"/>
              </w:rPr>
            </w:pPr>
            <w:r>
              <w:rPr>
                <w:rFonts w:hint="eastAsia"/>
                <w:sz w:val="18"/>
                <w:szCs w:val="18"/>
              </w:rPr>
              <w:t>没有褪色、烧焦、树脂松动等</w:t>
            </w:r>
          </w:p>
        </w:tc>
        <w:tc>
          <w:tcPr>
            <w:tcW w:w="1935" w:type="dxa"/>
            <w:vAlign w:val="center"/>
          </w:tcPr>
          <w:p w14:paraId="386B9455">
            <w:pPr>
              <w:adjustRightInd/>
              <w:spacing w:line="240" w:lineRule="auto"/>
              <w:jc w:val="center"/>
              <w:rPr>
                <w:sz w:val="18"/>
                <w:szCs w:val="18"/>
              </w:rPr>
            </w:pPr>
            <w:r>
              <w:rPr>
                <w:rFonts w:hint="eastAsia"/>
                <w:sz w:val="18"/>
                <w:szCs w:val="18"/>
              </w:rPr>
              <w:t>—</w:t>
            </w:r>
          </w:p>
        </w:tc>
        <w:tc>
          <w:tcPr>
            <w:tcW w:w="1936" w:type="dxa"/>
            <w:vAlign w:val="center"/>
          </w:tcPr>
          <w:p w14:paraId="1226539A">
            <w:pPr>
              <w:adjustRightInd/>
              <w:spacing w:line="240" w:lineRule="auto"/>
              <w:jc w:val="center"/>
              <w:rPr>
                <w:sz w:val="18"/>
                <w:szCs w:val="18"/>
              </w:rPr>
            </w:pPr>
            <w:r>
              <w:rPr>
                <w:rFonts w:hint="eastAsia"/>
                <w:sz w:val="18"/>
                <w:szCs w:val="18"/>
              </w:rPr>
              <w:t>高于一级的损伤</w:t>
            </w:r>
          </w:p>
        </w:tc>
      </w:tr>
      <w:tr w14:paraId="2643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421253BB">
            <w:pPr>
              <w:adjustRightInd/>
              <w:spacing w:line="240" w:lineRule="auto"/>
              <w:jc w:val="center"/>
              <w:rPr>
                <w:sz w:val="18"/>
                <w:szCs w:val="18"/>
              </w:rPr>
            </w:pPr>
            <w:r>
              <w:rPr>
                <w:rFonts w:hint="eastAsia"/>
                <w:sz w:val="18"/>
                <w:szCs w:val="18"/>
              </w:rPr>
              <w:t>结构损伤</w:t>
            </w:r>
          </w:p>
        </w:tc>
        <w:tc>
          <w:tcPr>
            <w:tcW w:w="2122" w:type="dxa"/>
            <w:vAlign w:val="center"/>
          </w:tcPr>
          <w:p w14:paraId="5422FDEE">
            <w:pPr>
              <w:adjustRightInd/>
              <w:spacing w:line="240" w:lineRule="auto"/>
              <w:jc w:val="center"/>
              <w:rPr>
                <w:sz w:val="18"/>
                <w:szCs w:val="18"/>
              </w:rPr>
            </w:pPr>
            <w:r>
              <w:rPr>
                <w:rFonts w:hint="eastAsia"/>
                <w:sz w:val="18"/>
                <w:szCs w:val="18"/>
              </w:rPr>
              <w:t>瓶体外观表现为凸起、颈部弯曲，非设计的凹陷，或目视检查内胆的变形</w:t>
            </w:r>
          </w:p>
        </w:tc>
        <w:tc>
          <w:tcPr>
            <w:tcW w:w="1935" w:type="dxa"/>
            <w:vAlign w:val="center"/>
          </w:tcPr>
          <w:p w14:paraId="5D747ADC">
            <w:pPr>
              <w:adjustRightInd/>
              <w:spacing w:line="240" w:lineRule="auto"/>
              <w:jc w:val="center"/>
              <w:rPr>
                <w:sz w:val="18"/>
                <w:szCs w:val="18"/>
              </w:rPr>
            </w:pPr>
            <w:r>
              <w:rPr>
                <w:rFonts w:hint="eastAsia"/>
                <w:sz w:val="18"/>
                <w:szCs w:val="18"/>
              </w:rPr>
              <w:t>—</w:t>
            </w:r>
          </w:p>
        </w:tc>
        <w:tc>
          <w:tcPr>
            <w:tcW w:w="1935" w:type="dxa"/>
            <w:vAlign w:val="center"/>
          </w:tcPr>
          <w:p w14:paraId="589A3D3C">
            <w:pPr>
              <w:adjustRightInd/>
              <w:spacing w:line="240" w:lineRule="auto"/>
              <w:jc w:val="center"/>
              <w:rPr>
                <w:sz w:val="18"/>
                <w:szCs w:val="18"/>
              </w:rPr>
            </w:pPr>
            <w:r>
              <w:rPr>
                <w:rFonts w:hint="eastAsia"/>
                <w:sz w:val="18"/>
                <w:szCs w:val="18"/>
              </w:rPr>
              <w:t>—</w:t>
            </w:r>
          </w:p>
        </w:tc>
        <w:tc>
          <w:tcPr>
            <w:tcW w:w="1936" w:type="dxa"/>
            <w:vAlign w:val="center"/>
          </w:tcPr>
          <w:p w14:paraId="302C158B">
            <w:pPr>
              <w:adjustRightInd/>
              <w:spacing w:line="240" w:lineRule="auto"/>
              <w:jc w:val="center"/>
              <w:rPr>
                <w:sz w:val="18"/>
                <w:szCs w:val="18"/>
              </w:rPr>
            </w:pPr>
            <w:r>
              <w:rPr>
                <w:rFonts w:hint="eastAsia"/>
                <w:sz w:val="18"/>
                <w:szCs w:val="18"/>
              </w:rPr>
              <w:t>气瓶原始结构发改变</w:t>
            </w:r>
          </w:p>
        </w:tc>
      </w:tr>
      <w:tr w14:paraId="1FA04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7C33CB59">
            <w:pPr>
              <w:adjustRightInd/>
              <w:spacing w:line="240" w:lineRule="auto"/>
              <w:jc w:val="center"/>
              <w:rPr>
                <w:sz w:val="18"/>
                <w:szCs w:val="18"/>
              </w:rPr>
            </w:pPr>
            <w:r>
              <w:rPr>
                <w:rFonts w:hint="eastAsia"/>
                <w:sz w:val="18"/>
                <w:szCs w:val="18"/>
              </w:rPr>
              <w:t>化学品腐蚀</w:t>
            </w:r>
          </w:p>
        </w:tc>
        <w:tc>
          <w:tcPr>
            <w:tcW w:w="2122" w:type="dxa"/>
            <w:vAlign w:val="center"/>
          </w:tcPr>
          <w:p w14:paraId="6A0CFF5A">
            <w:pPr>
              <w:adjustRightInd/>
              <w:spacing w:line="240" w:lineRule="auto"/>
              <w:jc w:val="center"/>
              <w:rPr>
                <w:sz w:val="18"/>
                <w:szCs w:val="18"/>
              </w:rPr>
            </w:pPr>
            <w:r>
              <w:rPr>
                <w:rFonts w:hint="eastAsia"/>
                <w:sz w:val="18"/>
                <w:szCs w:val="18"/>
              </w:rPr>
              <w:t>因受化学品接触引起缠绕层材料分解或破坏的现象</w:t>
            </w:r>
          </w:p>
        </w:tc>
        <w:tc>
          <w:tcPr>
            <w:tcW w:w="1935" w:type="dxa"/>
            <w:vAlign w:val="center"/>
          </w:tcPr>
          <w:p w14:paraId="0FAD20CD">
            <w:pPr>
              <w:adjustRightInd/>
              <w:spacing w:line="240" w:lineRule="auto"/>
              <w:jc w:val="center"/>
              <w:rPr>
                <w:sz w:val="18"/>
                <w:szCs w:val="18"/>
              </w:rPr>
            </w:pPr>
            <w:r>
              <w:rPr>
                <w:rFonts w:hint="eastAsia"/>
                <w:sz w:val="18"/>
                <w:szCs w:val="18"/>
              </w:rPr>
              <w:t>能确认化学品对瓶体材料没有损害，且能清洗掉残留</w:t>
            </w:r>
          </w:p>
        </w:tc>
        <w:tc>
          <w:tcPr>
            <w:tcW w:w="1935" w:type="dxa"/>
            <w:vAlign w:val="center"/>
          </w:tcPr>
          <w:p w14:paraId="7FD00AAC">
            <w:pPr>
              <w:adjustRightInd/>
              <w:spacing w:line="240" w:lineRule="auto"/>
              <w:jc w:val="center"/>
              <w:rPr>
                <w:sz w:val="18"/>
                <w:szCs w:val="18"/>
              </w:rPr>
            </w:pPr>
            <w:r>
              <w:rPr>
                <w:rFonts w:hint="eastAsia"/>
                <w:sz w:val="18"/>
                <w:szCs w:val="18"/>
              </w:rPr>
              <w:t>—</w:t>
            </w:r>
          </w:p>
        </w:tc>
        <w:tc>
          <w:tcPr>
            <w:tcW w:w="1936" w:type="dxa"/>
            <w:vAlign w:val="center"/>
          </w:tcPr>
          <w:p w14:paraId="6B365D25">
            <w:pPr>
              <w:adjustRightInd/>
              <w:spacing w:line="240" w:lineRule="auto"/>
              <w:jc w:val="center"/>
              <w:rPr>
                <w:sz w:val="18"/>
                <w:szCs w:val="18"/>
              </w:rPr>
            </w:pPr>
            <w:r>
              <w:rPr>
                <w:rFonts w:hint="eastAsia"/>
                <w:sz w:val="18"/>
                <w:szCs w:val="18"/>
              </w:rPr>
              <w:t>瓶体材料存在永久变色、断裂或损伤；或能确认化学品对气瓶材料有影响；或不能确定材料是否己受影响</w:t>
            </w:r>
          </w:p>
        </w:tc>
      </w:tr>
      <w:tr w14:paraId="020B5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63CDDBD8">
            <w:pPr>
              <w:adjustRightInd/>
              <w:spacing w:line="240" w:lineRule="auto"/>
              <w:jc w:val="center"/>
              <w:rPr>
                <w:sz w:val="18"/>
                <w:szCs w:val="18"/>
              </w:rPr>
            </w:pPr>
            <w:r>
              <w:rPr>
                <w:rFonts w:hint="eastAsia"/>
                <w:sz w:val="18"/>
                <w:szCs w:val="18"/>
              </w:rPr>
              <w:t>连接处松动</w:t>
            </w:r>
          </w:p>
        </w:tc>
        <w:tc>
          <w:tcPr>
            <w:tcW w:w="2122" w:type="dxa"/>
            <w:vAlign w:val="center"/>
          </w:tcPr>
          <w:p w14:paraId="6B77D192">
            <w:pPr>
              <w:adjustRightInd/>
              <w:spacing w:line="240" w:lineRule="auto"/>
              <w:jc w:val="center"/>
              <w:rPr>
                <w:sz w:val="18"/>
                <w:szCs w:val="18"/>
              </w:rPr>
            </w:pPr>
            <w:r>
              <w:rPr>
                <w:rFonts w:hint="eastAsia"/>
                <w:sz w:val="18"/>
                <w:szCs w:val="18"/>
              </w:rPr>
              <w:t>瓶体永久连接处松动</w:t>
            </w:r>
          </w:p>
        </w:tc>
        <w:tc>
          <w:tcPr>
            <w:tcW w:w="1935" w:type="dxa"/>
            <w:vAlign w:val="center"/>
          </w:tcPr>
          <w:p w14:paraId="6EAFC1A7">
            <w:pPr>
              <w:adjustRightInd/>
              <w:spacing w:line="240" w:lineRule="auto"/>
              <w:jc w:val="center"/>
              <w:rPr>
                <w:sz w:val="18"/>
                <w:szCs w:val="18"/>
              </w:rPr>
            </w:pPr>
            <w:r>
              <w:rPr>
                <w:rFonts w:hint="eastAsia"/>
                <w:sz w:val="18"/>
                <w:szCs w:val="18"/>
              </w:rPr>
              <w:t>—</w:t>
            </w:r>
          </w:p>
        </w:tc>
        <w:tc>
          <w:tcPr>
            <w:tcW w:w="1935" w:type="dxa"/>
            <w:vAlign w:val="center"/>
          </w:tcPr>
          <w:p w14:paraId="67A507FF">
            <w:pPr>
              <w:adjustRightInd/>
              <w:spacing w:line="240" w:lineRule="auto"/>
              <w:jc w:val="center"/>
              <w:rPr>
                <w:sz w:val="18"/>
                <w:szCs w:val="18"/>
              </w:rPr>
            </w:pPr>
            <w:r>
              <w:rPr>
                <w:rFonts w:hint="eastAsia"/>
                <w:sz w:val="18"/>
                <w:szCs w:val="18"/>
              </w:rPr>
              <w:t>—</w:t>
            </w:r>
          </w:p>
        </w:tc>
        <w:tc>
          <w:tcPr>
            <w:tcW w:w="1936" w:type="dxa"/>
            <w:vAlign w:val="center"/>
          </w:tcPr>
          <w:p w14:paraId="4130A3DE">
            <w:pPr>
              <w:adjustRightInd/>
              <w:spacing w:line="240" w:lineRule="auto"/>
              <w:jc w:val="center"/>
              <w:rPr>
                <w:sz w:val="18"/>
                <w:szCs w:val="18"/>
              </w:rPr>
            </w:pPr>
            <w:r>
              <w:rPr>
                <w:rFonts w:hint="eastAsia"/>
                <w:sz w:val="18"/>
                <w:szCs w:val="18"/>
              </w:rPr>
              <w:t>永久连接处出现松动或脱落</w:t>
            </w:r>
          </w:p>
        </w:tc>
      </w:tr>
      <w:tr w14:paraId="4B83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14:paraId="089C056C">
            <w:pPr>
              <w:adjustRightInd/>
              <w:spacing w:line="240" w:lineRule="auto"/>
              <w:jc w:val="center"/>
              <w:rPr>
                <w:sz w:val="18"/>
                <w:szCs w:val="18"/>
              </w:rPr>
            </w:pPr>
            <w:r>
              <w:rPr>
                <w:rFonts w:hint="eastAsia"/>
                <w:sz w:val="18"/>
                <w:szCs w:val="18"/>
              </w:rPr>
              <w:t>连接处损坏</w:t>
            </w:r>
          </w:p>
        </w:tc>
        <w:tc>
          <w:tcPr>
            <w:tcW w:w="2122" w:type="dxa"/>
            <w:vAlign w:val="center"/>
          </w:tcPr>
          <w:p w14:paraId="6488ABB1">
            <w:pPr>
              <w:adjustRightInd/>
              <w:spacing w:line="240" w:lineRule="auto"/>
              <w:jc w:val="center"/>
              <w:rPr>
                <w:sz w:val="18"/>
                <w:szCs w:val="18"/>
              </w:rPr>
            </w:pPr>
            <w:r>
              <w:rPr>
                <w:rFonts w:hint="eastAsia"/>
                <w:sz w:val="18"/>
                <w:szCs w:val="18"/>
              </w:rPr>
              <w:t>瓶体永久连接处的损伤</w:t>
            </w:r>
          </w:p>
        </w:tc>
        <w:tc>
          <w:tcPr>
            <w:tcW w:w="1935" w:type="dxa"/>
            <w:vAlign w:val="center"/>
          </w:tcPr>
          <w:p w14:paraId="6A2FA39E">
            <w:pPr>
              <w:adjustRightInd/>
              <w:spacing w:line="240" w:lineRule="auto"/>
              <w:jc w:val="center"/>
              <w:rPr>
                <w:sz w:val="18"/>
                <w:szCs w:val="18"/>
              </w:rPr>
            </w:pPr>
            <w:r>
              <w:rPr>
                <w:rFonts w:hint="eastAsia"/>
                <w:sz w:val="18"/>
                <w:szCs w:val="18"/>
              </w:rPr>
              <w:t>轻微损伤</w:t>
            </w:r>
          </w:p>
        </w:tc>
        <w:tc>
          <w:tcPr>
            <w:tcW w:w="1935" w:type="dxa"/>
            <w:vAlign w:val="center"/>
          </w:tcPr>
          <w:p w14:paraId="40A4DEC2">
            <w:pPr>
              <w:adjustRightInd/>
              <w:spacing w:line="240" w:lineRule="auto"/>
              <w:jc w:val="center"/>
              <w:rPr>
                <w:sz w:val="18"/>
                <w:szCs w:val="18"/>
              </w:rPr>
            </w:pPr>
            <w:r>
              <w:rPr>
                <w:rFonts w:hint="eastAsia"/>
                <w:sz w:val="18"/>
                <w:szCs w:val="18"/>
              </w:rPr>
              <w:t>当出现凹痕、裂纹、破损等，评估可拆除连接并替换合格，气瓶继续使用</w:t>
            </w:r>
          </w:p>
        </w:tc>
        <w:tc>
          <w:tcPr>
            <w:tcW w:w="1936" w:type="dxa"/>
            <w:vAlign w:val="center"/>
          </w:tcPr>
          <w:p w14:paraId="100283B5">
            <w:pPr>
              <w:adjustRightInd/>
              <w:spacing w:line="240" w:lineRule="auto"/>
              <w:jc w:val="center"/>
              <w:rPr>
                <w:sz w:val="18"/>
                <w:szCs w:val="18"/>
              </w:rPr>
            </w:pPr>
            <w:r>
              <w:rPr>
                <w:rFonts w:hint="eastAsia"/>
                <w:sz w:val="18"/>
                <w:szCs w:val="18"/>
              </w:rPr>
              <w:t>出现2级损伤并无法替换或气瓶出现临近连接处损伤区域的损伤</w:t>
            </w:r>
          </w:p>
        </w:tc>
      </w:tr>
    </w:tbl>
    <w:p w14:paraId="0DAB92CC">
      <w:pPr>
        <w:pStyle w:val="78"/>
        <w:spacing w:before="156" w:after="156"/>
      </w:pPr>
      <w:r>
        <w:rPr>
          <w:rFonts w:hint="eastAsia"/>
        </w:rPr>
        <w:t>结果评价</w:t>
      </w:r>
    </w:p>
    <w:p w14:paraId="0A2B47A5">
      <w:pPr>
        <w:pStyle w:val="56"/>
        <w:ind w:firstLine="420"/>
      </w:pPr>
      <w:r>
        <w:rPr>
          <w:rFonts w:hint="eastAsia"/>
        </w:rPr>
        <w:t>检验存在以下情况之一的均判为不合格。</w:t>
      </w:r>
    </w:p>
    <w:p w14:paraId="39684CE0">
      <w:pPr>
        <w:pStyle w:val="174"/>
        <w:numPr>
          <w:ilvl w:val="0"/>
          <w:numId w:val="50"/>
        </w:numPr>
      </w:pPr>
      <w:r>
        <w:rPr>
          <w:rFonts w:hint="eastAsia"/>
        </w:rPr>
        <w:t>外观检查判为三级损伤的；</w:t>
      </w:r>
    </w:p>
    <w:p w14:paraId="7159EF3C">
      <w:pPr>
        <w:pStyle w:val="174"/>
      </w:pPr>
      <w:r>
        <w:rPr>
          <w:rFonts w:hint="eastAsia"/>
        </w:rPr>
        <w:t>内表面有裂纹的；</w:t>
      </w:r>
    </w:p>
    <w:p w14:paraId="223BC40A">
      <w:pPr>
        <w:pStyle w:val="174"/>
      </w:pPr>
      <w:r>
        <w:rPr>
          <w:rFonts w:hint="eastAsia"/>
        </w:rPr>
        <w:t>内胆有变形的；</w:t>
      </w:r>
    </w:p>
    <w:p w14:paraId="69DC7531">
      <w:pPr>
        <w:pStyle w:val="174"/>
      </w:pPr>
      <w:r>
        <w:rPr>
          <w:rFonts w:hint="eastAsia"/>
        </w:rPr>
        <w:t>内表面点腐蚀凹坑的深度大于0.7mm的；</w:t>
      </w:r>
    </w:p>
    <w:p w14:paraId="4988D688">
      <w:pPr>
        <w:pStyle w:val="174"/>
      </w:pPr>
      <w:r>
        <w:rPr>
          <w:rFonts w:hint="eastAsia"/>
        </w:rPr>
        <w:t>内表面线状腐蚀凹坑的深度大于0.5mm的；</w:t>
      </w:r>
    </w:p>
    <w:p w14:paraId="219AF14E">
      <w:pPr>
        <w:pStyle w:val="174"/>
      </w:pPr>
      <w:r>
        <w:rPr>
          <w:rFonts w:hint="eastAsia"/>
        </w:rPr>
        <w:t>内表面分散性点腐蚀凹坑的深度大于0.5mm的；</w:t>
      </w:r>
    </w:p>
    <w:p w14:paraId="50280544">
      <w:pPr>
        <w:pStyle w:val="174"/>
      </w:pPr>
      <w:r>
        <w:rPr>
          <w:rFonts w:hint="eastAsia"/>
        </w:rPr>
        <w:t>瓶口螺纹及密封面检查不合格的，修复不合格；</w:t>
      </w:r>
    </w:p>
    <w:p w14:paraId="2A5EE9EE">
      <w:pPr>
        <w:pStyle w:val="174"/>
      </w:pPr>
      <w:r>
        <w:rPr>
          <w:rFonts w:hint="eastAsia"/>
        </w:rPr>
        <w:t>瓶口螺纹有效螺纹数应满足剪切应力安全系数小于4的。</w:t>
      </w:r>
    </w:p>
    <w:p w14:paraId="16411C57">
      <w:pPr>
        <w:pStyle w:val="78"/>
        <w:spacing w:before="156" w:after="156"/>
      </w:pPr>
      <w:r>
        <w:rPr>
          <w:rFonts w:hint="eastAsia"/>
        </w:rPr>
        <w:t>检测报告</w:t>
      </w:r>
    </w:p>
    <w:p w14:paraId="5AE8F704">
      <w:pPr>
        <w:pStyle w:val="79"/>
        <w:spacing w:before="156" w:after="156"/>
        <w:ind w:left="0"/>
      </w:pPr>
      <w:r>
        <w:rPr>
          <w:rFonts w:hint="eastAsia"/>
        </w:rPr>
        <w:t>记录</w:t>
      </w:r>
    </w:p>
    <w:p w14:paraId="3659443F">
      <w:pPr>
        <w:pStyle w:val="56"/>
        <w:ind w:firstLine="420"/>
      </w:pPr>
      <w:r>
        <w:rPr>
          <w:rFonts w:hint="eastAsia"/>
        </w:rPr>
        <w:t>应按检测工艺规程的要求记录检测数据或信息，并按相关法规、标准和（或）合同要求保存所有记录。</w:t>
      </w:r>
    </w:p>
    <w:p w14:paraId="199BFF07">
      <w:pPr>
        <w:pStyle w:val="79"/>
        <w:spacing w:before="156" w:after="156"/>
        <w:ind w:left="0"/>
      </w:pPr>
      <w:r>
        <w:rPr>
          <w:rFonts w:hint="eastAsia"/>
        </w:rPr>
        <w:t>报告</w:t>
      </w:r>
    </w:p>
    <w:p w14:paraId="109376BA">
      <w:pPr>
        <w:pStyle w:val="56"/>
        <w:ind w:firstLine="420"/>
      </w:pPr>
      <w:r>
        <w:rPr>
          <w:rFonts w:hint="eastAsia"/>
        </w:rPr>
        <w:t>检测报告应至少包括如下内容：</w:t>
      </w:r>
    </w:p>
    <w:p w14:paraId="043E867B">
      <w:pPr>
        <w:pStyle w:val="174"/>
        <w:numPr>
          <w:ilvl w:val="0"/>
          <w:numId w:val="51"/>
        </w:numPr>
      </w:pPr>
      <w:r>
        <w:rPr>
          <w:rFonts w:hint="eastAsia"/>
        </w:rPr>
        <w:t>委托单位；</w:t>
      </w:r>
    </w:p>
    <w:p w14:paraId="6DB9C60B">
      <w:pPr>
        <w:pStyle w:val="174"/>
      </w:pPr>
      <w:r>
        <w:rPr>
          <w:rFonts w:hint="eastAsia"/>
        </w:rPr>
        <w:t>被检件的名称、编号、规格和材质等；</w:t>
      </w:r>
    </w:p>
    <w:p w14:paraId="0AEF7807">
      <w:pPr>
        <w:pStyle w:val="174"/>
      </w:pPr>
      <w:r>
        <w:rPr>
          <w:rFonts w:hint="eastAsia"/>
        </w:rPr>
        <w:t>检测使用的设备和器材；</w:t>
      </w:r>
    </w:p>
    <w:p w14:paraId="1FDC6AE7">
      <w:pPr>
        <w:pStyle w:val="174"/>
      </w:pPr>
      <w:r>
        <w:rPr>
          <w:rFonts w:hint="eastAsia"/>
        </w:rPr>
        <w:t>检测和验收标准；</w:t>
      </w:r>
    </w:p>
    <w:p w14:paraId="65FDE8E5">
      <w:pPr>
        <w:pStyle w:val="174"/>
      </w:pPr>
      <w:r>
        <w:rPr>
          <w:rFonts w:hint="eastAsia"/>
        </w:rPr>
        <w:t>检测方法；</w:t>
      </w:r>
    </w:p>
    <w:p w14:paraId="58DC963F">
      <w:pPr>
        <w:pStyle w:val="174"/>
      </w:pPr>
      <w:r>
        <w:rPr>
          <w:rFonts w:hint="eastAsia"/>
        </w:rPr>
        <w:t>所有观察项目和检测结果；</w:t>
      </w:r>
    </w:p>
    <w:p w14:paraId="217CCECC">
      <w:pPr>
        <w:pStyle w:val="174"/>
      </w:pPr>
      <w:r>
        <w:rPr>
          <w:rFonts w:hint="eastAsia"/>
        </w:rPr>
        <w:t>检测人员、报告编写人和审核人签字及资格证书编号；</w:t>
      </w:r>
    </w:p>
    <w:p w14:paraId="4C162EC4">
      <w:pPr>
        <w:pStyle w:val="174"/>
      </w:pPr>
      <w:r>
        <w:rPr>
          <w:rFonts w:hint="eastAsia"/>
        </w:rPr>
        <w:t>检测日期</w:t>
      </w:r>
      <w:r>
        <w:rPr>
          <w:rFonts w:hint="eastAsia"/>
          <w:lang w:eastAsia="zh-CN"/>
        </w:rPr>
        <w:t>。</w:t>
      </w:r>
    </w:p>
    <w:p w14:paraId="3545AFE2">
      <w:pPr>
        <w:pStyle w:val="174"/>
        <w:numPr>
          <w:ilvl w:val="0"/>
          <w:numId w:val="0"/>
        </w:numPr>
      </w:pPr>
    </w:p>
    <w:p w14:paraId="3F03AAD4"/>
    <w:p w14:paraId="1FB4F229"/>
    <w:p w14:paraId="4B6592A4"/>
    <w:p w14:paraId="2663F367"/>
    <w:p w14:paraId="60F1DE38"/>
    <w:p w14:paraId="6C17165C"/>
    <w:p w14:paraId="418151F5"/>
    <w:p w14:paraId="2E657353"/>
    <w:p w14:paraId="4FEA09F1"/>
    <w:p w14:paraId="01D858C4"/>
    <w:p w14:paraId="0E210DAC"/>
    <w:p w14:paraId="5D9CF0D5"/>
    <w:p w14:paraId="2C3DBB7A">
      <w:pPr>
        <w:rPr>
          <w:rFonts w:ascii="宋体" w:hAnsi="Times New Roman"/>
          <w:kern w:val="0"/>
          <w:szCs w:val="20"/>
        </w:rPr>
      </w:pPr>
    </w:p>
    <w:p w14:paraId="028D62C3">
      <w:pPr>
        <w:rPr>
          <w:rFonts w:ascii="宋体" w:hAnsi="Times New Roman"/>
          <w:kern w:val="0"/>
          <w:szCs w:val="20"/>
        </w:rPr>
      </w:pPr>
    </w:p>
    <w:p w14:paraId="5A188C56">
      <w:pPr>
        <w:sectPr>
          <w:pgSz w:w="11906" w:h="16838"/>
          <w:pgMar w:top="1928" w:right="1134" w:bottom="1134" w:left="1134" w:header="1418" w:footer="1134" w:gutter="284"/>
          <w:cols w:space="425" w:num="1"/>
          <w:formProt w:val="0"/>
          <w:docGrid w:type="lines" w:linePitch="312" w:charSpace="0"/>
        </w:sectPr>
      </w:pPr>
    </w:p>
    <w:p w14:paraId="2EE1D7A9">
      <w:pPr>
        <w:pStyle w:val="198"/>
        <w:ind w:left="0"/>
        <w:rPr>
          <w:rFonts w:hint="eastAsia"/>
        </w:rPr>
      </w:pPr>
    </w:p>
    <w:p w14:paraId="291B2971">
      <w:pPr>
        <w:pStyle w:val="199"/>
        <w:ind w:left="0"/>
      </w:pPr>
    </w:p>
    <w:p w14:paraId="12118CA0">
      <w:pPr>
        <w:pStyle w:val="76"/>
        <w:spacing w:after="156"/>
      </w:pPr>
      <w:r>
        <w:br w:type="textWrapping"/>
      </w:r>
      <w:bookmarkStart w:id="99" w:name="_Toc129620126"/>
      <w:r>
        <w:rPr>
          <w:rFonts w:hint="eastAsia"/>
        </w:rPr>
        <w:t>（规范性）</w:t>
      </w:r>
      <w:r>
        <w:br w:type="textWrapping"/>
      </w:r>
      <w:r>
        <w:rPr>
          <w:rFonts w:hint="eastAsia"/>
        </w:rPr>
        <w:t>阵列涡流检测</w:t>
      </w:r>
      <w:bookmarkEnd w:id="99"/>
    </w:p>
    <w:p w14:paraId="464C8EEC">
      <w:pPr>
        <w:pStyle w:val="78"/>
        <w:spacing w:before="156" w:after="156"/>
      </w:pPr>
      <w:r>
        <w:rPr>
          <w:rFonts w:hint="eastAsia"/>
        </w:rPr>
        <w:t>范围</w:t>
      </w:r>
    </w:p>
    <w:p w14:paraId="0213C170">
      <w:pPr>
        <w:pStyle w:val="56"/>
        <w:ind w:firstLine="420"/>
      </w:pPr>
      <w:r>
        <w:rPr>
          <w:rFonts w:hint="eastAsia"/>
        </w:rPr>
        <w:t>本附录规定了储氢气瓶内胆的阵列涡流检测方法。</w:t>
      </w:r>
    </w:p>
    <w:p w14:paraId="4AF0A706">
      <w:pPr>
        <w:pStyle w:val="56"/>
        <w:ind w:firstLine="420"/>
      </w:pPr>
      <w:r>
        <w:rPr>
          <w:rFonts w:hint="eastAsia"/>
        </w:rPr>
        <w:t>本附录适用于在制和在用储氢气瓶金属铝内胆内表面及近内表面缺陷的阵列涡流检测。</w:t>
      </w:r>
    </w:p>
    <w:p w14:paraId="0D447A03">
      <w:pPr>
        <w:pStyle w:val="179"/>
      </w:pPr>
      <w:r>
        <w:rPr>
          <w:rFonts w:hint="eastAsia"/>
        </w:rPr>
        <w:t>金属气瓶内表面及近内表面缺陷的检测可参照执行</w:t>
      </w:r>
    </w:p>
    <w:p w14:paraId="17096DA1">
      <w:pPr>
        <w:pStyle w:val="78"/>
        <w:spacing w:before="156" w:after="156"/>
      </w:pPr>
      <w:r>
        <w:rPr>
          <w:rFonts w:hint="eastAsia"/>
        </w:rPr>
        <w:t>规范性引用文件</w:t>
      </w:r>
    </w:p>
    <w:sdt>
      <w:sdtPr>
        <w:rPr>
          <w:rFonts w:hint="eastAsia"/>
        </w:rPr>
        <w:id w:val="-1436591351"/>
        <w:placeholder>
          <w:docPart w:val="0E8886513F5644FAB7F8D35A65E3AE0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5FBF773A">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9774033">
      <w:pPr>
        <w:pStyle w:val="56"/>
        <w:ind w:firstLine="420"/>
      </w:pPr>
      <w:r>
        <w:rPr>
          <w:rFonts w:hint="eastAsia"/>
        </w:rPr>
        <w:t>GB/T 20737</w:t>
      </w:r>
      <w:r>
        <w:rPr>
          <w:rFonts w:hint="eastAsia"/>
          <w:lang w:val="en-US" w:eastAsia="zh-CN"/>
        </w:rPr>
        <w:t>-2006</w:t>
      </w:r>
      <w:r>
        <w:rPr>
          <w:rFonts w:hint="eastAsia"/>
        </w:rPr>
        <w:t xml:space="preserve"> 无损检测 通用术语和定义</w:t>
      </w:r>
    </w:p>
    <w:p w14:paraId="5253103E">
      <w:pPr>
        <w:pStyle w:val="56"/>
        <w:ind w:firstLine="420"/>
      </w:pPr>
      <w:r>
        <w:rPr>
          <w:rFonts w:hint="eastAsia"/>
        </w:rPr>
        <w:t>GB/T 34362</w:t>
      </w:r>
      <w:r>
        <w:rPr>
          <w:rFonts w:hint="eastAsia"/>
          <w:lang w:val="en-US" w:eastAsia="zh-CN"/>
        </w:rPr>
        <w:t>-2017</w:t>
      </w:r>
      <w:r>
        <w:rPr>
          <w:rFonts w:hint="eastAsia"/>
        </w:rPr>
        <w:t xml:space="preserve"> 无损检测 适形阵列涡流检测导则</w:t>
      </w:r>
    </w:p>
    <w:p w14:paraId="1B37E7BA">
      <w:pPr>
        <w:pStyle w:val="56"/>
        <w:ind w:firstLine="420"/>
      </w:pPr>
      <w:r>
        <w:rPr>
          <w:rFonts w:hint="eastAsia"/>
        </w:rPr>
        <w:t>NB/T 47013.6</w:t>
      </w:r>
      <w:r>
        <w:rPr>
          <w:rFonts w:hint="eastAsia"/>
          <w:lang w:val="en-US" w:eastAsia="zh-CN"/>
        </w:rPr>
        <w:t>-2015</w:t>
      </w:r>
      <w:r>
        <w:rPr>
          <w:rFonts w:hint="eastAsia"/>
        </w:rPr>
        <w:t xml:space="preserve"> 承压设备无损检测第6部分：涡流检测</w:t>
      </w:r>
    </w:p>
    <w:p w14:paraId="4AC19B6B">
      <w:pPr>
        <w:pStyle w:val="78"/>
        <w:spacing w:before="156" w:after="156"/>
      </w:pPr>
      <w:r>
        <w:rPr>
          <w:rFonts w:hint="eastAsia"/>
        </w:rPr>
        <w:t>术语和定义</w:t>
      </w:r>
    </w:p>
    <w:sdt>
      <w:sdtPr>
        <w:id w:val="-417631751"/>
        <w:placeholder>
          <w:docPart w:val="B2E6D065153F40B885C6C8430F11146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0743157">
          <w:pPr>
            <w:pStyle w:val="56"/>
            <w:ind w:firstLine="420"/>
          </w:pPr>
          <w:r>
            <w:rPr>
              <w:rFonts w:hint="eastAsia"/>
            </w:rPr>
            <w:t>GB/T 20737和GB/T 34362界定的以及下列术语和定义适用于本文件</w:t>
          </w:r>
          <w:r>
            <w:t>。</w:t>
          </w:r>
        </w:p>
      </w:sdtContent>
    </w:sdt>
    <w:p w14:paraId="04958571">
      <w:pPr>
        <w:pStyle w:val="79"/>
        <w:spacing w:before="156" w:after="156"/>
        <w:ind w:left="0"/>
      </w:pPr>
    </w:p>
    <w:p w14:paraId="772CE151">
      <w:pPr>
        <w:pStyle w:val="56"/>
        <w:ind w:firstLine="420"/>
        <w:rPr>
          <w:rFonts w:hint="eastAsia" w:ascii="黑体" w:hAnsi="黑体" w:eastAsia="黑体"/>
        </w:rPr>
      </w:pPr>
      <w:r>
        <w:rPr>
          <w:rFonts w:hint="eastAsia" w:ascii="黑体" w:hAnsi="黑体" w:eastAsia="黑体"/>
        </w:rPr>
        <w:t>阵列涡流 eddy current array(ECA)</w:t>
      </w:r>
    </w:p>
    <w:p w14:paraId="0FCCDEA4">
      <w:pPr>
        <w:pStyle w:val="56"/>
        <w:ind w:firstLine="420"/>
      </w:pPr>
      <w:r>
        <w:rPr>
          <w:rFonts w:hint="eastAsia"/>
        </w:rPr>
        <w:t>阵列涡流检测技术通过涡流检测线圈结构的特殊设计（该类探头是由许多个独立的线圈按指定规则排列而成的阵列探头），并借助于计算机化的涡流仪器强大的分析、计算及处理功能，实现对材料和零件的快速、有效地检测。</w:t>
      </w:r>
    </w:p>
    <w:p w14:paraId="5130FB78">
      <w:pPr>
        <w:pStyle w:val="56"/>
        <w:ind w:firstLine="420"/>
      </w:pPr>
    </w:p>
    <w:p w14:paraId="5F2C0AA6">
      <w:pPr>
        <w:pStyle w:val="78"/>
        <w:spacing w:before="156" w:after="156"/>
      </w:pPr>
      <w:r>
        <w:rPr>
          <w:rFonts w:hint="eastAsia"/>
        </w:rPr>
        <w:t>一般要求</w:t>
      </w:r>
    </w:p>
    <w:p w14:paraId="37A17D43">
      <w:pPr>
        <w:pStyle w:val="79"/>
        <w:spacing w:before="156" w:after="156"/>
        <w:ind w:left="0"/>
      </w:pPr>
      <w:r>
        <w:rPr>
          <w:rFonts w:hint="eastAsia"/>
        </w:rPr>
        <w:t>概述</w:t>
      </w:r>
    </w:p>
    <w:p w14:paraId="494F4FF3">
      <w:pPr>
        <w:pStyle w:val="56"/>
        <w:ind w:firstLine="420"/>
      </w:pPr>
      <w:r>
        <w:rPr>
          <w:rFonts w:hint="eastAsia"/>
        </w:rPr>
        <w:t>阵列涡流检测的一般要求应符合</w:t>
      </w:r>
      <w:r>
        <w:t>GB/T 34362</w:t>
      </w:r>
      <w:r>
        <w:rPr>
          <w:rFonts w:hint="eastAsia"/>
        </w:rPr>
        <w:t>的有关规定。</w:t>
      </w:r>
    </w:p>
    <w:p w14:paraId="02BB0A9A">
      <w:pPr>
        <w:pStyle w:val="79"/>
        <w:spacing w:before="156" w:after="156"/>
        <w:ind w:left="0"/>
      </w:pPr>
      <w:r>
        <w:rPr>
          <w:rFonts w:hint="eastAsia"/>
        </w:rPr>
        <w:t>检测人员</w:t>
      </w:r>
    </w:p>
    <w:p w14:paraId="5C9269F2">
      <w:pPr>
        <w:pStyle w:val="56"/>
        <w:ind w:firstLine="420"/>
      </w:pPr>
      <w:r>
        <w:rPr>
          <w:rFonts w:hint="eastAsia"/>
        </w:rPr>
        <w:t>按本附录实施检测的人员，应按</w:t>
      </w:r>
      <w:r>
        <w:t>GB/T 9445</w:t>
      </w:r>
      <w:r>
        <w:rPr>
          <w:rFonts w:hint="eastAsia"/>
        </w:rPr>
        <w:t>规定的或合同各方同意的体系进行资格鉴定与认证，并由雇主或其代理对其进行岗位培训和操作授权。</w:t>
      </w:r>
    </w:p>
    <w:p w14:paraId="77F74500">
      <w:pPr>
        <w:pStyle w:val="79"/>
        <w:spacing w:before="156" w:after="156"/>
        <w:ind w:left="0"/>
      </w:pPr>
      <w:r>
        <w:rPr>
          <w:rFonts w:hint="eastAsia"/>
        </w:rPr>
        <w:t>检测系统</w:t>
      </w:r>
    </w:p>
    <w:p w14:paraId="641F0AE8">
      <w:pPr>
        <w:pStyle w:val="213"/>
        <w:ind w:left="0"/>
      </w:pPr>
      <w:r>
        <w:rPr>
          <w:rFonts w:hint="eastAsia"/>
        </w:rPr>
        <w:t>涡流检测系统一般包括信号发生模块、功率放大模块、涡流探头、信号调理电路、数据采集模块。</w:t>
      </w:r>
    </w:p>
    <w:p w14:paraId="15F25481">
      <w:pPr>
        <w:pStyle w:val="213"/>
        <w:ind w:left="0"/>
      </w:pPr>
      <w:r>
        <w:rPr>
          <w:rFonts w:hint="eastAsia"/>
        </w:rPr>
        <w:t>信号发生模块用于产生驱动激励线圈初级磁场所需的正弦波激励信号。</w:t>
      </w:r>
    </w:p>
    <w:p w14:paraId="0CA093C3">
      <w:pPr>
        <w:pStyle w:val="213"/>
        <w:ind w:left="0"/>
      </w:pPr>
      <w:r>
        <w:rPr>
          <w:rFonts w:hint="eastAsia"/>
        </w:rPr>
        <w:t>考虑到仪器功耗、激励线圈发热以及检测效率的问题，激励频率的设定并不是越高越好。</w:t>
      </w:r>
    </w:p>
    <w:p w14:paraId="07514A7A">
      <w:pPr>
        <w:pStyle w:val="213"/>
        <w:ind w:left="0"/>
      </w:pPr>
      <w:r>
        <w:rPr>
          <w:rFonts w:hint="eastAsia"/>
        </w:rPr>
        <w:t>功率放大模块能够将输入信号以电流形式或者电压形式放大。</w:t>
      </w:r>
    </w:p>
    <w:p w14:paraId="54A2EB5B">
      <w:pPr>
        <w:pStyle w:val="213"/>
        <w:ind w:left="0"/>
      </w:pPr>
      <w:r>
        <w:rPr>
          <w:rFonts w:hint="eastAsia"/>
        </w:rPr>
        <w:t>功率放大器输入电路为高输入阻抗的输入级，且能够由面板波段开关选择，包括：直流电压源输入、或交流电压源输入、或外信号源输入。</w:t>
      </w:r>
    </w:p>
    <w:p w14:paraId="092BF560">
      <w:pPr>
        <w:pStyle w:val="213"/>
        <w:ind w:left="0"/>
      </w:pPr>
      <w:r>
        <w:rPr>
          <w:rFonts w:hint="eastAsia"/>
        </w:rPr>
        <w:t>功率放大器输入级对输入信号幅度进行微调，达到用户对输出的要求值。</w:t>
      </w:r>
    </w:p>
    <w:p w14:paraId="76712C41">
      <w:pPr>
        <w:pStyle w:val="213"/>
        <w:ind w:left="0"/>
      </w:pPr>
      <w:r>
        <w:rPr>
          <w:rFonts w:hint="eastAsia"/>
        </w:rPr>
        <w:t>仪器需要含有内负载电阻，当不接外负载时，接内负载电阻，保证仪器正常工作。</w:t>
      </w:r>
    </w:p>
    <w:p w14:paraId="6EBBA548">
      <w:pPr>
        <w:pStyle w:val="213"/>
        <w:ind w:left="0"/>
      </w:pPr>
      <w:r>
        <w:rPr>
          <w:rFonts w:hint="eastAsia"/>
        </w:rPr>
        <w:t>仪器的交流信号频率范围需要满足激励信号的放大需要。</w:t>
      </w:r>
    </w:p>
    <w:p w14:paraId="2FC0BC1C">
      <w:pPr>
        <w:pStyle w:val="213"/>
        <w:ind w:left="0"/>
      </w:pPr>
      <w:r>
        <w:rPr>
          <w:rFonts w:hint="eastAsia"/>
        </w:rPr>
        <w:t>涡流探头由激励线圈和感应线圈两部分构成。</w:t>
      </w:r>
    </w:p>
    <w:p w14:paraId="0FFD48E1">
      <w:pPr>
        <w:pStyle w:val="213"/>
        <w:ind w:left="0"/>
      </w:pPr>
      <w:r>
        <w:rPr>
          <w:rFonts w:hint="eastAsia"/>
        </w:rPr>
        <w:t>激励线圈和感应线圈的大小、匝数、几何结构及单位线圈个数等，皆需满足检测覆盖区域的大小。</w:t>
      </w:r>
    </w:p>
    <w:p w14:paraId="02E196E4">
      <w:pPr>
        <w:pStyle w:val="213"/>
        <w:ind w:left="0"/>
      </w:pPr>
      <w:r>
        <w:rPr>
          <w:rFonts w:hint="eastAsia"/>
        </w:rPr>
        <w:t>由于一般用作衰减率分析的信号段幅值较低，达到毫伏甚至微伏级，因此需要通过信号调理电路提高微弱有效信号的信噪比。</w:t>
      </w:r>
    </w:p>
    <w:p w14:paraId="23665051">
      <w:pPr>
        <w:pStyle w:val="213"/>
        <w:ind w:left="0"/>
      </w:pPr>
      <w:r>
        <w:rPr>
          <w:rFonts w:hint="eastAsia"/>
        </w:rPr>
        <w:t>信号调理电路的电路布局需要避免模拟/数字混合干扰。</w:t>
      </w:r>
    </w:p>
    <w:p w14:paraId="272402B4">
      <w:pPr>
        <w:pStyle w:val="213"/>
        <w:ind w:left="0"/>
      </w:pPr>
      <w:r>
        <w:rPr>
          <w:rFonts w:hint="eastAsia"/>
        </w:rPr>
        <w:t>需要选用共模抑制比足够高的运算放大器作为前置放大器，同时选用合适的滤波电路及滤波段滤除检测信号中的高频噪声。</w:t>
      </w:r>
    </w:p>
    <w:p w14:paraId="2B88849D">
      <w:pPr>
        <w:pStyle w:val="213"/>
        <w:ind w:left="0"/>
      </w:pPr>
      <w:r>
        <w:rPr>
          <w:rFonts w:hint="eastAsia"/>
        </w:rPr>
        <w:t>选用良好的电源给运算放大器供电，开关电源提供电压可调，但有不可消除的开关噪声，精密线性电源可以不引入噪声，但只能提供固定电压。</w:t>
      </w:r>
    </w:p>
    <w:p w14:paraId="2F5450FB">
      <w:pPr>
        <w:pStyle w:val="213"/>
        <w:ind w:left="0"/>
      </w:pPr>
      <w:r>
        <w:rPr>
          <w:rFonts w:hint="eastAsia"/>
        </w:rPr>
        <w:t>励信号频率过高时对数据采集模块的性能需求较高，因此可在信号调理电路中加入锁相放大电路。</w:t>
      </w:r>
    </w:p>
    <w:p w14:paraId="50B36DC5">
      <w:pPr>
        <w:pStyle w:val="213"/>
        <w:ind w:left="0"/>
      </w:pPr>
      <w:r>
        <w:rPr>
          <w:rFonts w:hint="eastAsia"/>
        </w:rPr>
        <w:t>数据采集模块需要有信号触发采集模块和数据采集电路两部分。</w:t>
      </w:r>
    </w:p>
    <w:p w14:paraId="0E870E70">
      <w:pPr>
        <w:pStyle w:val="213"/>
        <w:ind w:left="0"/>
      </w:pPr>
      <w:r>
        <w:rPr>
          <w:rFonts w:hint="eastAsia"/>
        </w:rPr>
        <w:t>信号触发采集模块为数据采集电路提供采集触发和停止信号。</w:t>
      </w:r>
    </w:p>
    <w:p w14:paraId="6E41996E">
      <w:pPr>
        <w:pStyle w:val="213"/>
        <w:ind w:left="0"/>
      </w:pPr>
      <w:r>
        <w:rPr>
          <w:rFonts w:hint="eastAsia"/>
        </w:rPr>
        <w:t>感应线圈中的电压-时间信号是模拟信号，要进入计算机进行数字信号处理必须经过A/D转换。</w:t>
      </w:r>
    </w:p>
    <w:p w14:paraId="65A7FA62">
      <w:pPr>
        <w:pStyle w:val="213"/>
        <w:ind w:left="0"/>
      </w:pPr>
      <w:r>
        <w:rPr>
          <w:rFonts w:hint="eastAsia"/>
        </w:rPr>
        <w:t>数据采集模块负责将数字信号传送给计算机单元。</w:t>
      </w:r>
    </w:p>
    <w:p w14:paraId="783D7151">
      <w:pPr>
        <w:pStyle w:val="213"/>
        <w:ind w:left="0"/>
      </w:pPr>
      <w:r>
        <w:rPr>
          <w:rFonts w:hint="eastAsia"/>
        </w:rPr>
        <w:t>数据的采样精度为16位，采样频率最高可达2MHz。</w:t>
      </w:r>
    </w:p>
    <w:p w14:paraId="683129F5">
      <w:pPr>
        <w:pStyle w:val="213"/>
        <w:ind w:left="0"/>
      </w:pPr>
      <w:r>
        <w:rPr>
          <w:rFonts w:hint="eastAsia"/>
        </w:rPr>
        <w:t>考虑到信号处理时的工作量以及处理难度，采集的数据量不宜过大，即检测时数据采集模块的采样频率不宜设置过大。</w:t>
      </w:r>
    </w:p>
    <w:p w14:paraId="7F560536">
      <w:pPr>
        <w:pStyle w:val="213"/>
        <w:ind w:left="0"/>
      </w:pPr>
      <w:r>
        <w:rPr>
          <w:rFonts w:hint="eastAsia"/>
        </w:rPr>
        <w:t>考虑到被检测对象为筒状氢气瓶铝内胆，需要设计针对氢气瓶铝内胆的扫查系统，扫查系统主要包括倒伞形扫查架和平移旋转系统。</w:t>
      </w:r>
    </w:p>
    <w:p w14:paraId="4D2ED25A">
      <w:pPr>
        <w:pStyle w:val="213"/>
        <w:ind w:left="0"/>
      </w:pPr>
      <w:r>
        <w:rPr>
          <w:rFonts w:hint="eastAsia"/>
        </w:rPr>
        <w:t>倒伞形扫查架负责搭载平面涡流传感器并将其送入铝内胆内部完成检测，检测时扫查架施压使得传感器紧贴铝内胆外表面。</w:t>
      </w:r>
    </w:p>
    <w:p w14:paraId="0407C5A2">
      <w:pPr>
        <w:pStyle w:val="213"/>
        <w:ind w:left="0"/>
      </w:pPr>
      <w:r>
        <w:rPr>
          <w:rFonts w:hint="eastAsia"/>
        </w:rPr>
        <w:t>平移旋转系统用于带动倒伞形扫查架移动和旋转，使扫查架能实现对铝内胆的全面检测。</w:t>
      </w:r>
    </w:p>
    <w:p w14:paraId="41238DD2">
      <w:pPr>
        <w:pStyle w:val="79"/>
        <w:spacing w:before="156" w:after="156"/>
        <w:ind w:left="0"/>
      </w:pPr>
      <w:r>
        <w:rPr>
          <w:rFonts w:hint="eastAsia"/>
        </w:rPr>
        <w:t>标准试件</w:t>
      </w:r>
    </w:p>
    <w:p w14:paraId="0C0487C3">
      <w:pPr>
        <w:pStyle w:val="56"/>
        <w:ind w:firstLine="420"/>
      </w:pPr>
      <w:r>
        <w:rPr>
          <w:rFonts w:hint="eastAsia"/>
        </w:rPr>
        <w:t>为核查一起和探头检测性能的可靠性及其系统误差至少制作1个带有不同角度、不同宽度以及不同深度的人工裂纹缺陷的平板试件。推荐的尺寸见图B.1。其中,从左到右间隔50mm，A行表示将20mm×0.35mm×2mm的裂纹缺陷分别旋转15°、30°、45°、60°、75°;B行表示长20mm，深2mm宽度分别为0.1mm、0.2mm、0.35mm、0.5mm、0.7mm的裂纹缺陷; C行表示长20mm，宽度0.35mm，深度分别为0.5mm、0.75mm、1.0mm、1.5mm、2.0mm的裂纹缺陷。</w:t>
      </w:r>
    </w:p>
    <w:p w14:paraId="24D8E87B">
      <w:pPr>
        <w:pStyle w:val="165"/>
        <w:numPr>
          <w:ilvl w:val="0"/>
          <w:numId w:val="0"/>
        </w:numPr>
        <w:jc w:val="center"/>
      </w:pPr>
      <w:r>
        <w:drawing>
          <wp:inline distT="0" distB="0" distL="0" distR="0">
            <wp:extent cx="3318510" cy="2277745"/>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343691" cy="2295256"/>
                    </a:xfrm>
                    <a:prstGeom prst="rect">
                      <a:avLst/>
                    </a:prstGeom>
                  </pic:spPr>
                </pic:pic>
              </a:graphicData>
            </a:graphic>
          </wp:inline>
        </w:drawing>
      </w:r>
    </w:p>
    <w:p w14:paraId="3B8321FB">
      <w:pPr>
        <w:pStyle w:val="83"/>
        <w:spacing w:before="156" w:after="156"/>
      </w:pPr>
      <w:r>
        <w:rPr>
          <w:rFonts w:hint="eastAsia"/>
        </w:rPr>
        <w:t>平板试件尺寸</w:t>
      </w:r>
    </w:p>
    <w:p w14:paraId="42BEA21F">
      <w:pPr>
        <w:pStyle w:val="79"/>
        <w:spacing w:before="156" w:after="156"/>
        <w:ind w:left="0"/>
      </w:pPr>
      <w:r>
        <w:rPr>
          <w:rFonts w:hint="eastAsia"/>
        </w:rPr>
        <w:t>检测工艺文件</w:t>
      </w:r>
    </w:p>
    <w:p w14:paraId="265E5009">
      <w:pPr>
        <w:pStyle w:val="213"/>
        <w:ind w:left="0"/>
      </w:pPr>
      <w:r>
        <w:rPr>
          <w:rFonts w:hint="eastAsia"/>
        </w:rPr>
        <w:t>检测工艺文件包括工艺规程和操作指导书。</w:t>
      </w:r>
    </w:p>
    <w:p w14:paraId="0B313BC5">
      <w:pPr>
        <w:pStyle w:val="213"/>
        <w:ind w:left="0"/>
      </w:pPr>
      <w:r>
        <w:rPr>
          <w:rFonts w:hint="eastAsia"/>
        </w:rPr>
        <w:t>工艺规程除满足</w:t>
      </w:r>
      <w:r>
        <w:t>NB/T 47013.1</w:t>
      </w:r>
      <w:r>
        <w:rPr>
          <w:rFonts w:hint="eastAsia"/>
        </w:rPr>
        <w:t>中的要求外，至少还应包括：</w:t>
      </w:r>
    </w:p>
    <w:p w14:paraId="7ACEA784">
      <w:pPr>
        <w:pStyle w:val="174"/>
        <w:numPr>
          <w:ilvl w:val="0"/>
          <w:numId w:val="52"/>
        </w:numPr>
      </w:pPr>
      <w:r>
        <w:rPr>
          <w:rFonts w:hint="eastAsia"/>
        </w:rPr>
        <w:t>被检产品环境调查要求；</w:t>
      </w:r>
    </w:p>
    <w:p w14:paraId="64FD6092">
      <w:pPr>
        <w:pStyle w:val="174"/>
      </w:pPr>
      <w:r>
        <w:rPr>
          <w:rFonts w:hint="eastAsia"/>
        </w:rPr>
        <w:t>被检产品基本信息和运行状况；</w:t>
      </w:r>
    </w:p>
    <w:p w14:paraId="676EB759">
      <w:pPr>
        <w:pStyle w:val="174"/>
      </w:pPr>
      <w:r>
        <w:rPr>
          <w:rFonts w:hint="eastAsia"/>
        </w:rPr>
        <w:t>系统核查的要求；</w:t>
      </w:r>
    </w:p>
    <w:p w14:paraId="1D7CCA45">
      <w:pPr>
        <w:pStyle w:val="174"/>
      </w:pPr>
      <w:r>
        <w:rPr>
          <w:rFonts w:hint="eastAsia"/>
        </w:rPr>
        <w:t>参考点选择和实测要求；</w:t>
      </w:r>
    </w:p>
    <w:p w14:paraId="576872FC">
      <w:pPr>
        <w:pStyle w:val="174"/>
      </w:pPr>
      <w:r>
        <w:rPr>
          <w:rFonts w:hint="eastAsia"/>
        </w:rPr>
        <w:t>检测原始数据记录要求；</w:t>
      </w:r>
    </w:p>
    <w:p w14:paraId="5D10170B">
      <w:pPr>
        <w:pStyle w:val="174"/>
      </w:pPr>
      <w:r>
        <w:rPr>
          <w:rFonts w:hint="eastAsia"/>
        </w:rPr>
        <w:t>数据分析要求；</w:t>
      </w:r>
    </w:p>
    <w:p w14:paraId="4D50F79B">
      <w:pPr>
        <w:pStyle w:val="174"/>
      </w:pPr>
      <w:r>
        <w:rPr>
          <w:rFonts w:hint="eastAsia"/>
        </w:rPr>
        <w:t>检测结果的处理规定。</w:t>
      </w:r>
    </w:p>
    <w:p w14:paraId="3637E3C1">
      <w:pPr>
        <w:pStyle w:val="213"/>
        <w:ind w:left="0"/>
      </w:pPr>
      <w:r>
        <w:rPr>
          <w:rFonts w:hint="eastAsia"/>
        </w:rPr>
        <w:t>应根据工艺规程的内容以及被检工件的检测要求编制操作指导书，其内容除满足</w:t>
      </w:r>
      <w:r>
        <w:t>NB/T 47013.1</w:t>
      </w:r>
      <w:r>
        <w:rPr>
          <w:rFonts w:hint="eastAsia"/>
        </w:rPr>
        <w:t>中的要求外,至少还应包括：</w:t>
      </w:r>
    </w:p>
    <w:p w14:paraId="192932EA">
      <w:pPr>
        <w:pStyle w:val="174"/>
        <w:numPr>
          <w:ilvl w:val="0"/>
          <w:numId w:val="53"/>
        </w:numPr>
      </w:pPr>
      <w:r>
        <w:rPr>
          <w:rFonts w:hint="eastAsia"/>
        </w:rPr>
        <w:t>检测对象:设计与运行参数、覆盖层类型与厚度、金属外表面温度、环境情况以及设备振动、温度波动情况等；</w:t>
      </w:r>
    </w:p>
    <w:p w14:paraId="5C92FFA4">
      <w:pPr>
        <w:pStyle w:val="174"/>
      </w:pPr>
      <w:r>
        <w:rPr>
          <w:rFonts w:hint="eastAsia"/>
        </w:rPr>
        <w:t>检测设备和器材: 信号发生模块、功率放大模块、涡流探头、信号调理电路、数据采集模块等。</w:t>
      </w:r>
    </w:p>
    <w:p w14:paraId="0E661F1B">
      <w:pPr>
        <w:pStyle w:val="174"/>
      </w:pPr>
      <w:r>
        <w:rPr>
          <w:rFonts w:hint="eastAsia"/>
        </w:rPr>
        <w:t>校准试件；</w:t>
      </w:r>
    </w:p>
    <w:p w14:paraId="7EC41131">
      <w:pPr>
        <w:pStyle w:val="174"/>
      </w:pPr>
      <w:r>
        <w:rPr>
          <w:rFonts w:hint="eastAsia"/>
        </w:rPr>
        <w:t>系统核查；</w:t>
      </w:r>
    </w:p>
    <w:p w14:paraId="42D48275">
      <w:pPr>
        <w:pStyle w:val="174"/>
      </w:pPr>
      <w:r>
        <w:rPr>
          <w:rFonts w:hint="eastAsia"/>
        </w:rPr>
        <w:t>检测原始数据记录的规定；</w:t>
      </w:r>
    </w:p>
    <w:p w14:paraId="6D9D8D81">
      <w:pPr>
        <w:pStyle w:val="174"/>
      </w:pPr>
      <w:r>
        <w:rPr>
          <w:rFonts w:hint="eastAsia"/>
        </w:rPr>
        <w:t>检测结果判定。</w:t>
      </w:r>
    </w:p>
    <w:p w14:paraId="504A873F">
      <w:pPr>
        <w:pStyle w:val="79"/>
        <w:spacing w:before="156" w:after="156"/>
        <w:ind w:left="0"/>
      </w:pPr>
      <w:r>
        <w:rPr>
          <w:rFonts w:hint="eastAsia"/>
        </w:rPr>
        <w:t>检测环境</w:t>
      </w:r>
    </w:p>
    <w:p w14:paraId="56335F9E">
      <w:pPr>
        <w:pStyle w:val="213"/>
        <w:ind w:left="0"/>
      </w:pPr>
      <w:r>
        <w:rPr>
          <w:rFonts w:hint="eastAsia"/>
        </w:rPr>
        <w:t>检测过程应遵守国家和地方颁布的相关法律，特别是涉及事故预防、电气安全、高危行业以及环境保护方面的法律法规，遵守有关安全的法律法规是标准使用者的责任。</w:t>
      </w:r>
    </w:p>
    <w:p w14:paraId="0BE8012D">
      <w:pPr>
        <w:pStyle w:val="213"/>
        <w:ind w:left="0"/>
      </w:pPr>
      <w:r>
        <w:rPr>
          <w:rFonts w:hint="eastAsia"/>
        </w:rPr>
        <w:t>实施检测的场地温度和相对湿度应控制在仪器设备和被检工件允许的范围内。</w:t>
      </w:r>
    </w:p>
    <w:p w14:paraId="5E81C77B">
      <w:pPr>
        <w:pStyle w:val="213"/>
        <w:ind w:left="0"/>
      </w:pPr>
      <w:r>
        <w:rPr>
          <w:rFonts w:hint="eastAsia"/>
        </w:rPr>
        <w:t>检测场地附近不应有影响仪器设备正常工作的磁场、震动、腐蚀性气体及其他干扰。</w:t>
      </w:r>
    </w:p>
    <w:p w14:paraId="33CE9300">
      <w:pPr>
        <w:pStyle w:val="79"/>
        <w:spacing w:before="156" w:after="156"/>
        <w:ind w:left="0"/>
      </w:pPr>
      <w:bookmarkStart w:id="100" w:name="_Toc127972946"/>
      <w:r>
        <w:rPr>
          <w:rFonts w:hint="eastAsia"/>
        </w:rPr>
        <w:t>涡流检测的影响因素</w:t>
      </w:r>
      <w:bookmarkEnd w:id="100"/>
    </w:p>
    <w:p w14:paraId="16EA2E42">
      <w:pPr>
        <w:pStyle w:val="213"/>
        <w:ind w:left="0"/>
      </w:pPr>
      <w:r>
        <w:rPr>
          <w:rFonts w:hint="eastAsia"/>
        </w:rPr>
        <w:t>被检材料因微观组织变化等原因导致的磁导率和电导率的局部变化可能产生干扰信号，影响微小不连续的检测。对信号进行滤波可减小材料特性不均带来的影响。</w:t>
      </w:r>
    </w:p>
    <w:p w14:paraId="30FD69DA">
      <w:pPr>
        <w:pStyle w:val="213"/>
        <w:ind w:left="0"/>
      </w:pPr>
      <w:r>
        <w:rPr>
          <w:rFonts w:hint="eastAsia"/>
        </w:rPr>
        <w:t>功率放大器输出的稳定性会直接影响激励磁场，影响检测信号的信噪比。</w:t>
      </w:r>
    </w:p>
    <w:p w14:paraId="04D29BCD">
      <w:pPr>
        <w:pStyle w:val="213"/>
        <w:ind w:left="0"/>
      </w:pPr>
      <w:r>
        <w:rPr>
          <w:rFonts w:hint="eastAsia"/>
        </w:rPr>
        <w:t>涡流探头的结构包括几何形状、尺寸、线圈匝数、导线线径、相对位置都会直接影响检测信号，如果能在探头结构上进行优化，则可以有效改善检测结果。</w:t>
      </w:r>
    </w:p>
    <w:p w14:paraId="1EAFC584">
      <w:pPr>
        <w:pStyle w:val="213"/>
        <w:ind w:left="0"/>
      </w:pPr>
      <w:r>
        <w:rPr>
          <w:rFonts w:hint="eastAsia"/>
        </w:rPr>
        <w:t>信号调理电路中选用的滤波频率决定了保留有效信号的程度，应在尽可能多的去除噪声同时保留有效信号。</w:t>
      </w:r>
    </w:p>
    <w:p w14:paraId="58391BB7">
      <w:pPr>
        <w:pStyle w:val="78"/>
        <w:spacing w:before="156" w:after="156"/>
      </w:pPr>
      <w:r>
        <w:rPr>
          <w:rFonts w:hint="eastAsia"/>
        </w:rPr>
        <w:t>检测步骤</w:t>
      </w:r>
    </w:p>
    <w:p w14:paraId="21E90F41">
      <w:pPr>
        <w:pStyle w:val="79"/>
        <w:spacing w:before="156" w:after="156"/>
        <w:ind w:left="0"/>
      </w:pPr>
      <w:bookmarkStart w:id="101" w:name="_Toc127972948"/>
      <w:r>
        <w:rPr>
          <w:rFonts w:hint="eastAsia"/>
        </w:rPr>
        <w:t>激励频率的选择</w:t>
      </w:r>
      <w:bookmarkEnd w:id="101"/>
    </w:p>
    <w:p w14:paraId="04FAE6F1">
      <w:pPr>
        <w:pStyle w:val="213"/>
        <w:ind w:left="0"/>
      </w:pPr>
      <w:r>
        <w:rPr>
          <w:rFonts w:hint="eastAsia"/>
        </w:rPr>
        <w:t>检测前，将仪器工作频率设置为经过在被检材料或与之相近的样品上进行的仪器性能验证证明有效的一个或多个频率。</w:t>
      </w:r>
    </w:p>
    <w:p w14:paraId="287A531D">
      <w:pPr>
        <w:pStyle w:val="213"/>
        <w:ind w:left="0"/>
      </w:pPr>
      <w:r>
        <w:rPr>
          <w:rFonts w:hint="eastAsia"/>
        </w:rPr>
        <w:t>激励频率的选取应注意集肤效应的影响。</w:t>
      </w:r>
    </w:p>
    <w:p w14:paraId="77D355C6">
      <w:pPr>
        <w:pStyle w:val="79"/>
        <w:spacing w:before="156" w:after="156"/>
        <w:ind w:left="0"/>
      </w:pPr>
      <w:bookmarkStart w:id="102" w:name="_Toc127972949"/>
      <w:r>
        <w:rPr>
          <w:rFonts w:hint="eastAsia"/>
        </w:rPr>
        <w:t>检测准备</w:t>
      </w:r>
      <w:bookmarkEnd w:id="102"/>
    </w:p>
    <w:p w14:paraId="018E8FC2">
      <w:pPr>
        <w:pStyle w:val="213"/>
        <w:ind w:left="0"/>
      </w:pPr>
      <w:r>
        <w:rPr>
          <w:rFonts w:hint="eastAsia"/>
        </w:rPr>
        <w:t>检测前，应对被测件表面状况进行详细检查与记录，以排除表面不清洁导致的伪显示的可能性。</w:t>
      </w:r>
    </w:p>
    <w:p w14:paraId="552DBEA5">
      <w:pPr>
        <w:pStyle w:val="213"/>
        <w:ind w:left="0"/>
      </w:pPr>
      <w:r>
        <w:rPr>
          <w:rFonts w:hint="eastAsia"/>
        </w:rPr>
        <w:t>检测前，应注意激励源的使用安全，初始信号幅值不宜过大，功率放大器应置于“内循环”状态。</w:t>
      </w:r>
    </w:p>
    <w:p w14:paraId="56F7B07C">
      <w:pPr>
        <w:pStyle w:val="213"/>
        <w:ind w:left="0"/>
      </w:pPr>
      <w:r>
        <w:rPr>
          <w:rFonts w:hint="eastAsia"/>
        </w:rPr>
        <w:t>检测前，在相同检测条件下对无缺陷试件进行标定，获取无缺陷出的信号作为参考信号。</w:t>
      </w:r>
    </w:p>
    <w:p w14:paraId="773A639A">
      <w:pPr>
        <w:pStyle w:val="213"/>
        <w:ind w:left="0"/>
      </w:pPr>
      <w:r>
        <w:rPr>
          <w:rFonts w:hint="eastAsia"/>
        </w:rPr>
        <w:t>正式检测前，宜针对标准试块进行检测，确定检测工艺参数。</w:t>
      </w:r>
    </w:p>
    <w:p w14:paraId="160C13FE">
      <w:pPr>
        <w:pStyle w:val="79"/>
        <w:spacing w:before="156" w:after="156"/>
        <w:ind w:left="0"/>
      </w:pPr>
      <w:bookmarkStart w:id="103" w:name="_Toc127972950"/>
      <w:r>
        <w:rPr>
          <w:rFonts w:hint="eastAsia"/>
        </w:rPr>
        <w:t>检测设置</w:t>
      </w:r>
      <w:bookmarkEnd w:id="103"/>
    </w:p>
    <w:p w14:paraId="6867B34A">
      <w:pPr>
        <w:pStyle w:val="213"/>
        <w:ind w:left="0"/>
      </w:pPr>
      <w:r>
        <w:rPr>
          <w:rFonts w:hint="eastAsia"/>
        </w:rPr>
        <w:t>信号发生器设置</w:t>
      </w:r>
    </w:p>
    <w:p w14:paraId="6D560AAD">
      <w:pPr>
        <w:pStyle w:val="213"/>
        <w:ind w:left="0"/>
      </w:pPr>
      <w:r>
        <w:rPr>
          <w:rFonts w:hint="eastAsia"/>
        </w:rPr>
        <w:t>设置信号发生器的波形、频率，同时将信号发生器的输出端与功率放大器外循环输入端及数据采集卡外触发端口相连。</w:t>
      </w:r>
    </w:p>
    <w:p w14:paraId="18E4852A">
      <w:pPr>
        <w:pStyle w:val="213"/>
        <w:ind w:left="0"/>
      </w:pPr>
      <w:r>
        <w:rPr>
          <w:rFonts w:hint="eastAsia"/>
        </w:rPr>
        <w:t>功率放大器设置</w:t>
      </w:r>
    </w:p>
    <w:p w14:paraId="11D5488B">
      <w:pPr>
        <w:pStyle w:val="213"/>
        <w:ind w:left="0"/>
      </w:pPr>
      <w:r>
        <w:rPr>
          <w:rFonts w:hint="eastAsia"/>
        </w:rPr>
        <w:t>检测未开始前功率放大器处于内循环状态，选择合适的挡位，通过粗调和微调设置输出电流值，同时将其外循环输出端与传感器激励线圈相连。</w:t>
      </w:r>
    </w:p>
    <w:p w14:paraId="3E4CBD62">
      <w:pPr>
        <w:pStyle w:val="213"/>
        <w:ind w:left="0"/>
      </w:pPr>
      <w:r>
        <w:rPr>
          <w:rFonts w:hint="eastAsia"/>
        </w:rPr>
        <w:t>涡流探头检查</w:t>
      </w:r>
    </w:p>
    <w:p w14:paraId="210A3DFB">
      <w:pPr>
        <w:pStyle w:val="213"/>
        <w:ind w:left="0"/>
      </w:pPr>
      <w:r>
        <w:rPr>
          <w:rFonts w:hint="eastAsia"/>
        </w:rPr>
        <w:t>检查涡流探头的内部是否存在断路，外部接线是否牢固，摆放位置是否正确。</w:t>
      </w:r>
    </w:p>
    <w:p w14:paraId="20F896CF">
      <w:pPr>
        <w:pStyle w:val="213"/>
        <w:ind w:left="0"/>
      </w:pPr>
      <w:r>
        <w:rPr>
          <w:rFonts w:hint="eastAsia"/>
        </w:rPr>
        <w:t>信号调理电路校准</w:t>
      </w:r>
    </w:p>
    <w:p w14:paraId="7BBE47C1">
      <w:pPr>
        <w:pStyle w:val="213"/>
        <w:ind w:left="0"/>
      </w:pPr>
      <w:r>
        <w:rPr>
          <w:rFonts w:hint="eastAsia"/>
        </w:rPr>
        <w:t>利用信号发生器与示波器测试信号调理电路放大倍数是否有误，测试信号是否存在偏置，若有则需要进行调零，同时通过调节滤波电路单元电阻选择合适的滤波范围。</w:t>
      </w:r>
    </w:p>
    <w:p w14:paraId="4DD3BF08">
      <w:pPr>
        <w:pStyle w:val="213"/>
        <w:ind w:left="0"/>
      </w:pPr>
      <w:r>
        <w:rPr>
          <w:rFonts w:hint="eastAsia"/>
        </w:rPr>
        <w:t>采集卡设置</w:t>
      </w:r>
    </w:p>
    <w:p w14:paraId="4F5482ED">
      <w:pPr>
        <w:pStyle w:val="213"/>
        <w:ind w:left="0"/>
      </w:pPr>
      <w:r>
        <w:rPr>
          <w:rFonts w:hint="eastAsia"/>
        </w:rPr>
        <w:t>根据信号频率，通过上位机设置合适的采集卡采样点数和采样频率，利用信号发生器进行测试，检查外部触发是否正常，数据采集是否正常。</w:t>
      </w:r>
    </w:p>
    <w:p w14:paraId="782FA2F3">
      <w:pPr>
        <w:pStyle w:val="79"/>
        <w:spacing w:before="156" w:after="156"/>
        <w:ind w:left="0"/>
      </w:pPr>
      <w:bookmarkStart w:id="104" w:name="_Toc127972951"/>
      <w:r>
        <w:rPr>
          <w:rFonts w:hint="eastAsia"/>
        </w:rPr>
        <w:t>检测实施</w:t>
      </w:r>
      <w:bookmarkEnd w:id="104"/>
    </w:p>
    <w:p w14:paraId="568B30D9">
      <w:pPr>
        <w:pStyle w:val="213"/>
        <w:ind w:left="0"/>
      </w:pPr>
      <w:r>
        <w:rPr>
          <w:rFonts w:hint="eastAsia"/>
        </w:rPr>
        <w:t>完成激励的选择以及检测准备和设置后，将功率放大器调至外循环档位，稳定30秒。</w:t>
      </w:r>
    </w:p>
    <w:p w14:paraId="34DDD651">
      <w:pPr>
        <w:pStyle w:val="213"/>
        <w:ind w:left="0"/>
      </w:pPr>
      <w:r>
        <w:rPr>
          <w:rFonts w:hint="eastAsia"/>
        </w:rPr>
        <w:t>在无缺陷处采集数据作为参考信号，将此后所有检测的信号与其进行差分。</w:t>
      </w:r>
    </w:p>
    <w:p w14:paraId="3D73A0F7">
      <w:pPr>
        <w:pStyle w:val="213"/>
        <w:ind w:left="0"/>
      </w:pPr>
      <w:r>
        <w:rPr>
          <w:rFonts w:hint="eastAsia"/>
        </w:rPr>
        <w:t>对差分信号进行幅值、峰值时间等特征量的提取，获取缺陷特征信息，并对缺陷位置进行标记。</w:t>
      </w:r>
    </w:p>
    <w:p w14:paraId="17F2FEC5">
      <w:pPr>
        <w:pStyle w:val="213"/>
        <w:ind w:left="0"/>
      </w:pPr>
      <w:r>
        <w:rPr>
          <w:rFonts w:hint="eastAsia"/>
        </w:rPr>
        <w:t>数据采集过程中，每一组的激励线圈和接收线圈保持相对静止。</w:t>
      </w:r>
    </w:p>
    <w:p w14:paraId="602499A4">
      <w:pPr>
        <w:pStyle w:val="78"/>
        <w:spacing w:before="156" w:after="156"/>
      </w:pPr>
      <w:r>
        <w:rPr>
          <w:rFonts w:hint="eastAsia"/>
        </w:rPr>
        <w:t>检测结果评定</w:t>
      </w:r>
    </w:p>
    <w:p w14:paraId="77270CC1">
      <w:pPr>
        <w:pStyle w:val="212"/>
        <w:ind w:left="0"/>
      </w:pPr>
      <w:r>
        <w:rPr>
          <w:rFonts w:hint="eastAsia"/>
        </w:rPr>
        <w:t>对检测中出现的信号，除能证明是由工件结构或其他原因引起的非相关信号外，其余信号均应进行评定。</w:t>
      </w:r>
    </w:p>
    <w:p w14:paraId="302142B2">
      <w:pPr>
        <w:pStyle w:val="212"/>
        <w:ind w:left="0"/>
      </w:pPr>
      <w:r>
        <w:rPr>
          <w:rFonts w:hint="eastAsia"/>
        </w:rPr>
        <w:t>根据缺陷响应信号的幅值和相位对检测结果进行综合评定。</w:t>
      </w:r>
    </w:p>
    <w:p w14:paraId="070886CD">
      <w:pPr>
        <w:pStyle w:val="212"/>
        <w:ind w:left="0"/>
      </w:pPr>
      <w:r>
        <w:rPr>
          <w:rFonts w:hint="eastAsia"/>
        </w:rPr>
        <w:t>选择适当的辅助检测方法对有问题的区域进行再次检测，如采用专用视频内窥镜进行确认。</w:t>
      </w:r>
    </w:p>
    <w:p w14:paraId="6D281BAB">
      <w:pPr>
        <w:pStyle w:val="78"/>
        <w:spacing w:before="156" w:after="156"/>
      </w:pPr>
      <w:r>
        <w:rPr>
          <w:rFonts w:hint="eastAsia"/>
        </w:rPr>
        <w:t>检测报告</w:t>
      </w:r>
    </w:p>
    <w:p w14:paraId="36BA6DFA">
      <w:pPr>
        <w:pStyle w:val="56"/>
        <w:ind w:firstLine="420"/>
      </w:pPr>
      <w:r>
        <w:rPr>
          <w:rFonts w:hint="eastAsia"/>
        </w:rPr>
        <w:t>检测报告宜包括以下内容：</w:t>
      </w:r>
    </w:p>
    <w:p w14:paraId="2919D73B">
      <w:pPr>
        <w:pStyle w:val="174"/>
        <w:numPr>
          <w:ilvl w:val="0"/>
          <w:numId w:val="54"/>
        </w:numPr>
      </w:pPr>
      <w:r>
        <w:rPr>
          <w:rFonts w:hint="eastAsia"/>
        </w:rPr>
        <w:t>检测日期；</w:t>
      </w:r>
    </w:p>
    <w:p w14:paraId="5F62A9E1">
      <w:pPr>
        <w:pStyle w:val="174"/>
      </w:pPr>
      <w:r>
        <w:rPr>
          <w:rFonts w:hint="eastAsia"/>
        </w:rPr>
        <w:t>检测人员；</w:t>
      </w:r>
    </w:p>
    <w:p w14:paraId="671C0676">
      <w:pPr>
        <w:pStyle w:val="174"/>
      </w:pPr>
      <w:r>
        <w:rPr>
          <w:rFonts w:hint="eastAsia"/>
        </w:rPr>
        <w:t>被测件信息及检测区域；</w:t>
      </w:r>
    </w:p>
    <w:p w14:paraId="3930C205">
      <w:pPr>
        <w:pStyle w:val="174"/>
      </w:pPr>
      <w:r>
        <w:rPr>
          <w:rFonts w:hint="eastAsia"/>
        </w:rPr>
        <w:t>检测环境条件（温度、湿度）；</w:t>
      </w:r>
    </w:p>
    <w:p w14:paraId="1E901BE6">
      <w:pPr>
        <w:pStyle w:val="174"/>
      </w:pPr>
      <w:r>
        <w:rPr>
          <w:rFonts w:hint="eastAsia"/>
        </w:rPr>
        <w:t>信号发生器、功率放大器和采集卡的参数；</w:t>
      </w:r>
    </w:p>
    <w:p w14:paraId="198B177B">
      <w:pPr>
        <w:pStyle w:val="174"/>
      </w:pPr>
      <w:r>
        <w:rPr>
          <w:rFonts w:hint="eastAsia"/>
        </w:rPr>
        <w:t>所选激励的相关信息（激励频率等）；</w:t>
      </w:r>
    </w:p>
    <w:p w14:paraId="081083C2">
      <w:pPr>
        <w:pStyle w:val="174"/>
      </w:pPr>
      <w:r>
        <w:rPr>
          <w:rFonts w:hint="eastAsia"/>
        </w:rPr>
        <w:t>检测工艺参数；</w:t>
      </w:r>
    </w:p>
    <w:p w14:paraId="7C9B542F">
      <w:pPr>
        <w:pStyle w:val="174"/>
      </w:pPr>
      <w:r>
        <w:rPr>
          <w:rFonts w:hint="eastAsia"/>
        </w:rPr>
        <w:t>检测评价；</w:t>
      </w:r>
    </w:p>
    <w:p w14:paraId="6DF97D71">
      <w:pPr>
        <w:pStyle w:val="174"/>
      </w:pPr>
      <w:r>
        <w:rPr>
          <w:rFonts w:hint="eastAsia"/>
        </w:rPr>
        <w:t>其他（未在以上提及但影响检测结果的因素）。</w:t>
      </w:r>
    </w:p>
    <w:p w14:paraId="25A073E2">
      <w:pPr>
        <w:pStyle w:val="56"/>
        <w:ind w:firstLine="420"/>
        <w:sectPr>
          <w:pgSz w:w="11906" w:h="16838"/>
          <w:pgMar w:top="1928" w:right="1134" w:bottom="1134" w:left="1134" w:header="1418" w:footer="1134" w:gutter="284"/>
          <w:cols w:space="425" w:num="1"/>
          <w:formProt w:val="0"/>
          <w:docGrid w:type="lines" w:linePitch="312" w:charSpace="0"/>
        </w:sectPr>
      </w:pPr>
    </w:p>
    <w:p w14:paraId="3112E497">
      <w:pPr>
        <w:pStyle w:val="198"/>
        <w:ind w:left="0"/>
        <w:rPr>
          <w:rFonts w:hint="eastAsia"/>
        </w:rPr>
      </w:pPr>
    </w:p>
    <w:p w14:paraId="3CD8397E">
      <w:pPr>
        <w:pStyle w:val="199"/>
        <w:ind w:left="0"/>
      </w:pPr>
    </w:p>
    <w:p w14:paraId="4E2258EF">
      <w:pPr>
        <w:pStyle w:val="76"/>
        <w:spacing w:after="156"/>
      </w:pPr>
      <w:r>
        <w:br w:type="textWrapping"/>
      </w:r>
      <w:bookmarkStart w:id="105" w:name="_Toc129620127"/>
      <w:r>
        <w:rPr>
          <w:rFonts w:hint="eastAsia"/>
        </w:rPr>
        <w:t>（规范性）</w:t>
      </w:r>
      <w:r>
        <w:br w:type="textWrapping"/>
      </w:r>
      <w:r>
        <w:rPr>
          <w:rFonts w:hint="eastAsia"/>
        </w:rPr>
        <w:t>模态声发射检测</w:t>
      </w:r>
      <w:bookmarkEnd w:id="105"/>
    </w:p>
    <w:p w14:paraId="16BAB194">
      <w:pPr>
        <w:pStyle w:val="78"/>
        <w:spacing w:before="156" w:after="156"/>
      </w:pPr>
      <w:r>
        <w:rPr>
          <w:rFonts w:hint="eastAsia"/>
        </w:rPr>
        <w:t>范围</w:t>
      </w:r>
    </w:p>
    <w:p w14:paraId="133B2BB2">
      <w:pPr>
        <w:pStyle w:val="56"/>
        <w:ind w:firstLine="420"/>
      </w:pPr>
      <w:r>
        <w:rPr>
          <w:rFonts w:hint="eastAsia"/>
        </w:rPr>
        <w:t>本附录规定了储氢气瓶的模态声发射检测方法。</w:t>
      </w:r>
    </w:p>
    <w:p w14:paraId="60081697">
      <w:pPr>
        <w:pStyle w:val="56"/>
        <w:ind w:firstLine="420"/>
      </w:pPr>
      <w:r>
        <w:rPr>
          <w:rFonts w:hint="eastAsia"/>
        </w:rPr>
        <w:t>本附录适用于在制和在用气瓶碳纤维缠绕层缺陷的模态声发射检测。</w:t>
      </w:r>
    </w:p>
    <w:p w14:paraId="31579146">
      <w:pPr>
        <w:pStyle w:val="78"/>
        <w:spacing w:before="156" w:after="156"/>
      </w:pPr>
      <w:r>
        <w:rPr>
          <w:rFonts w:hint="eastAsia"/>
        </w:rPr>
        <w:t>规范性引用文件</w:t>
      </w:r>
    </w:p>
    <w:sdt>
      <w:sdtPr>
        <w:rPr>
          <w:rFonts w:hint="eastAsia"/>
        </w:rPr>
        <w:id w:val="1583719378"/>
        <w:placeholder>
          <w:docPart w:val="4181C46E8B914E889DA575689030C7E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076CEBEC">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FAA699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12604.4</w:t>
      </w:r>
      <w:r>
        <w:rPr>
          <w:rFonts w:hint="eastAsia" w:ascii="宋体" w:hAnsi="Times New Roman"/>
          <w:kern w:val="0"/>
          <w:szCs w:val="20"/>
          <w:lang w:val="en-US" w:eastAsia="zh-CN"/>
        </w:rPr>
        <w:t>-2005</w:t>
      </w:r>
      <w:r>
        <w:rPr>
          <w:rFonts w:hint="eastAsia" w:ascii="宋体" w:hAnsi="Times New Roman"/>
          <w:kern w:val="0"/>
          <w:szCs w:val="20"/>
        </w:rPr>
        <w:t xml:space="preserve"> 无损检测 术语 声发射检测</w:t>
      </w:r>
    </w:p>
    <w:p w14:paraId="37A1670D">
      <w:pPr>
        <w:widowControl/>
        <w:autoSpaceDE w:val="0"/>
        <w:autoSpaceDN w:val="0"/>
        <w:adjustRightInd/>
        <w:spacing w:line="240" w:lineRule="auto"/>
        <w:ind w:firstLine="420" w:firstLineChars="200"/>
        <w:rPr>
          <w:rFonts w:ascii="宋体" w:hAnsi="Times New Roman"/>
          <w:kern w:val="0"/>
          <w:szCs w:val="20"/>
        </w:rPr>
      </w:pPr>
      <w:bookmarkStart w:id="106" w:name="OLE_LINK14"/>
      <w:r>
        <w:rPr>
          <w:rFonts w:hint="eastAsia" w:ascii="宋体" w:hAnsi="Times New Roman"/>
          <w:kern w:val="0"/>
          <w:szCs w:val="20"/>
        </w:rPr>
        <w:t>GB/T 20737</w:t>
      </w:r>
      <w:bookmarkEnd w:id="106"/>
      <w:r>
        <w:rPr>
          <w:rFonts w:hint="eastAsia" w:ascii="宋体" w:hAnsi="Times New Roman"/>
          <w:kern w:val="0"/>
          <w:szCs w:val="20"/>
          <w:lang w:val="en-US" w:eastAsia="zh-CN"/>
        </w:rPr>
        <w:t>-2006</w:t>
      </w:r>
      <w:r>
        <w:rPr>
          <w:rFonts w:hint="eastAsia" w:ascii="宋体" w:hAnsi="Times New Roman"/>
          <w:kern w:val="0"/>
          <w:szCs w:val="20"/>
        </w:rPr>
        <w:t xml:space="preserve"> 无损检测 通用术语和定义</w:t>
      </w:r>
    </w:p>
    <w:p w14:paraId="45FB231B">
      <w:pPr>
        <w:widowControl/>
        <w:autoSpaceDE w:val="0"/>
        <w:autoSpaceDN w:val="0"/>
        <w:adjustRightInd/>
        <w:spacing w:line="240" w:lineRule="auto"/>
        <w:ind w:firstLine="420" w:firstLineChars="200"/>
        <w:rPr>
          <w:rFonts w:hint="eastAsia" w:ascii="宋体" w:hAnsi="Times New Roman"/>
          <w:kern w:val="0"/>
          <w:szCs w:val="20"/>
        </w:rPr>
      </w:pPr>
      <w:r>
        <w:rPr>
          <w:rFonts w:hint="eastAsia" w:ascii="宋体" w:hAnsi="Times New Roman"/>
          <w:kern w:val="0"/>
          <w:szCs w:val="20"/>
        </w:rPr>
        <w:t>GB/T 26644</w:t>
      </w:r>
      <w:r>
        <w:rPr>
          <w:rFonts w:hint="eastAsia" w:ascii="宋体" w:hAnsi="Times New Roman"/>
          <w:kern w:val="0"/>
          <w:szCs w:val="20"/>
          <w:lang w:val="en-US" w:eastAsia="zh-CN"/>
        </w:rPr>
        <w:t>-2011</w:t>
      </w:r>
      <w:r>
        <w:rPr>
          <w:rFonts w:hint="eastAsia" w:ascii="宋体" w:hAnsi="Times New Roman"/>
          <w:kern w:val="0"/>
          <w:szCs w:val="20"/>
        </w:rPr>
        <w:t xml:space="preserve"> 无损检测 声发射检测 总则</w:t>
      </w:r>
    </w:p>
    <w:p w14:paraId="4E9DF75D">
      <w:pPr>
        <w:widowControl/>
        <w:autoSpaceDE w:val="0"/>
        <w:autoSpaceDN w:val="0"/>
        <w:adjustRightInd/>
        <w:spacing w:line="240" w:lineRule="auto"/>
        <w:ind w:firstLine="420" w:firstLineChars="200"/>
        <w:rPr>
          <w:rFonts w:hint="eastAsia" w:ascii="宋体" w:hAnsi="Times New Roman"/>
          <w:kern w:val="0"/>
          <w:szCs w:val="20"/>
          <w:lang w:val="en-US" w:eastAsia="zh-CN"/>
        </w:rPr>
      </w:pPr>
      <w:r>
        <w:rPr>
          <w:rFonts w:hint="eastAsia" w:ascii="宋体" w:hAnsi="Times New Roman"/>
          <w:kern w:val="0"/>
          <w:szCs w:val="20"/>
          <w:lang w:val="en-US" w:eastAsia="zh-CN"/>
        </w:rPr>
        <w:t>GB/T 19800-2005 无损检测 声发射检测 换能器的一级校准</w:t>
      </w:r>
    </w:p>
    <w:p w14:paraId="4EEE4507">
      <w:pPr>
        <w:widowControl/>
        <w:autoSpaceDE w:val="0"/>
        <w:autoSpaceDN w:val="0"/>
        <w:adjustRightInd/>
        <w:spacing w:line="240" w:lineRule="auto"/>
        <w:ind w:firstLine="420" w:firstLineChars="200"/>
        <w:rPr>
          <w:rFonts w:hint="default" w:ascii="宋体" w:hAnsi="Times New Roman"/>
          <w:kern w:val="0"/>
          <w:szCs w:val="20"/>
          <w:lang w:val="en-US" w:eastAsia="zh-CN"/>
        </w:rPr>
      </w:pPr>
      <w:r>
        <w:rPr>
          <w:rFonts w:hint="eastAsia" w:ascii="宋体" w:hAnsi="Times New Roman"/>
          <w:kern w:val="0"/>
          <w:szCs w:val="20"/>
          <w:lang w:val="en-US" w:eastAsia="zh-CN"/>
        </w:rPr>
        <w:t>GB/T 19801-2005 无损检测 声发射检测 声发射传感器的二级校准</w:t>
      </w:r>
    </w:p>
    <w:p w14:paraId="4EFAD37E">
      <w:pPr>
        <w:widowControl/>
        <w:autoSpaceDE w:val="0"/>
        <w:autoSpaceDN w:val="0"/>
        <w:adjustRightInd/>
        <w:spacing w:line="240" w:lineRule="auto"/>
        <w:ind w:firstLine="420" w:firstLineChars="200"/>
        <w:rPr>
          <w:rFonts w:hint="default" w:ascii="宋体" w:hAnsi="Times New Roman"/>
          <w:kern w:val="0"/>
          <w:szCs w:val="20"/>
          <w:lang w:val="en-US" w:eastAsia="zh-CN"/>
        </w:rPr>
      </w:pPr>
    </w:p>
    <w:p w14:paraId="4E7EA44A">
      <w:pPr>
        <w:pStyle w:val="78"/>
        <w:spacing w:before="156" w:after="156"/>
      </w:pPr>
      <w:r>
        <w:rPr>
          <w:rFonts w:hint="eastAsia"/>
        </w:rPr>
        <w:t>术语和定义</w:t>
      </w:r>
    </w:p>
    <w:sdt>
      <w:sdtPr>
        <w:id w:val="-2062390065"/>
        <w:placeholder>
          <w:docPart w:val="0A98EC07B4DE49DFA733634E0CEB7AF6"/>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6B7190C8">
          <w:pPr>
            <w:pStyle w:val="56"/>
            <w:ind w:firstLine="420"/>
          </w:pPr>
          <w:r>
            <w:rPr>
              <w:rFonts w:hint="eastAsia"/>
            </w:rPr>
            <w:t>GB/T 20737和GB/T 12604.4</w:t>
          </w:r>
          <w:r>
            <w:t>界定的以及下列术语和定义适用于本文件。</w:t>
          </w:r>
        </w:p>
      </w:sdtContent>
    </w:sdt>
    <w:p w14:paraId="7ECC4A0E">
      <w:pPr>
        <w:pStyle w:val="79"/>
        <w:spacing w:before="156" w:after="156"/>
        <w:ind w:left="0"/>
      </w:pPr>
    </w:p>
    <w:p w14:paraId="7E41EF99">
      <w:pPr>
        <w:pStyle w:val="56"/>
        <w:ind w:firstLine="420"/>
        <w:rPr>
          <w:rFonts w:hint="eastAsia" w:ascii="黑体" w:hAnsi="黑体" w:eastAsia="黑体"/>
        </w:rPr>
      </w:pPr>
      <w:r>
        <w:rPr>
          <w:rFonts w:hint="eastAsia" w:ascii="黑体" w:hAnsi="黑体" w:eastAsia="黑体"/>
        </w:rPr>
        <w:t>模态声发射  modal acoustic emission (MAE)</w:t>
      </w:r>
    </w:p>
    <w:p w14:paraId="4291ABCE">
      <w:pPr>
        <w:pStyle w:val="56"/>
        <w:ind w:firstLine="420"/>
      </w:pPr>
      <w:r>
        <w:rPr>
          <w:rFonts w:hint="eastAsia"/>
        </w:rPr>
        <w:t>一种基于声发射波形的分析技术，它主要是根据兰姆波理论研究板中声发射波的特点，从而将声发射波形与特定的物理过程相联系。</w:t>
      </w:r>
    </w:p>
    <w:p w14:paraId="56CE9389">
      <w:pPr>
        <w:pStyle w:val="79"/>
        <w:spacing w:before="156" w:after="156"/>
        <w:ind w:left="0"/>
      </w:pPr>
    </w:p>
    <w:p w14:paraId="0834D4FD">
      <w:pPr>
        <w:pStyle w:val="56"/>
        <w:ind w:firstLine="420"/>
      </w:pPr>
      <w:r>
        <w:rPr>
          <w:rFonts w:hint="eastAsia" w:ascii="黑体" w:hAnsi="黑体" w:eastAsia="黑体"/>
        </w:rPr>
        <w:t>宽频带声发射传感器 broadband piezoelectric sensor</w:t>
      </w:r>
    </w:p>
    <w:p w14:paraId="4307CE03">
      <w:pPr>
        <w:pStyle w:val="56"/>
        <w:ind w:firstLine="420"/>
      </w:pPr>
      <w:r>
        <w:rPr>
          <w:rFonts w:hint="eastAsia"/>
        </w:rPr>
        <w:t>传感器在50 – 400 kHz带宽内需具有较平坦的频率响应特性，幅值响应波动应小于±6 dB。</w:t>
      </w:r>
    </w:p>
    <w:p w14:paraId="72044C5E">
      <w:pPr>
        <w:pStyle w:val="78"/>
        <w:spacing w:before="156" w:after="156"/>
      </w:pPr>
      <w:r>
        <w:rPr>
          <w:rFonts w:hint="eastAsia"/>
        </w:rPr>
        <w:t>方法概要</w:t>
      </w:r>
    </w:p>
    <w:p w14:paraId="6BE21A85">
      <w:pPr>
        <w:pStyle w:val="56"/>
        <w:ind w:firstLine="420"/>
      </w:pPr>
      <w:r>
        <w:rPr>
          <w:rFonts w:hint="eastAsia"/>
        </w:rPr>
        <w:t>模态声发射主要用来检测气瓶中纤维层的缺陷情况。存在缺陷的气瓶纤维层在工作压力下可能会发生显著的纤维断裂，纤维断裂部位快速释放能量产生瞬态弹性波，即发生声发射现象。和常规声发射检测不同，模态声发射检测专注于用宽频带声发射传感器采集波形数据，并根据波的传播特性来分析波形，以确定声源的类型，然后通过软件分离Lamb波中的板内扩展波S(E or Extensional Wave)和板面弯曲波A(F or Flexural Wave)来区分声发射源的特性与位置。当声源方向垂直于板平面时弯曲波幅度将大于扩展波，由此可辅助判别损伤是否来自材料破坏的信号，并通过典型波形的分析，确定复合材料损伤的类型，比如纤维断裂、基体脱开、分层等。</w:t>
      </w:r>
    </w:p>
    <w:p w14:paraId="6978D4FA">
      <w:pPr>
        <w:pStyle w:val="78"/>
        <w:spacing w:before="156" w:after="156"/>
      </w:pPr>
      <w:r>
        <w:rPr>
          <w:rFonts w:hint="eastAsia"/>
        </w:rPr>
        <w:t>一般要求</w:t>
      </w:r>
    </w:p>
    <w:p w14:paraId="5B8F5E2D">
      <w:pPr>
        <w:pStyle w:val="79"/>
        <w:spacing w:before="156" w:after="156"/>
        <w:ind w:left="0"/>
      </w:pPr>
      <w:r>
        <w:rPr>
          <w:rFonts w:hint="eastAsia"/>
        </w:rPr>
        <w:t>概述</w:t>
      </w:r>
    </w:p>
    <w:p w14:paraId="261CB8A5">
      <w:pPr>
        <w:pStyle w:val="56"/>
        <w:ind w:firstLine="420"/>
      </w:pPr>
      <w:r>
        <w:rPr>
          <w:rFonts w:hint="eastAsia"/>
        </w:rPr>
        <w:t>模态声发射检测的一般要求除应符合</w:t>
      </w:r>
      <w:r>
        <w:rPr>
          <w:rFonts w:hint="eastAsia"/>
          <w:highlight w:val="yellow"/>
        </w:rPr>
        <w:t>GB/T 26644</w:t>
      </w:r>
      <w:r>
        <w:rPr>
          <w:rFonts w:hint="eastAsia"/>
        </w:rPr>
        <w:t>的有关规定外，还应符合C</w:t>
      </w:r>
      <w:r>
        <w:rPr>
          <w:rFonts w:hint="eastAsia"/>
          <w:lang w:val="en-US" w:eastAsia="zh-CN"/>
        </w:rPr>
        <w:t>5</w:t>
      </w:r>
      <w:r>
        <w:rPr>
          <w:rFonts w:hint="eastAsia"/>
        </w:rPr>
        <w:t>.2-C</w:t>
      </w:r>
      <w:r>
        <w:rPr>
          <w:rFonts w:hint="eastAsia"/>
          <w:lang w:val="en-US" w:eastAsia="zh-CN"/>
        </w:rPr>
        <w:t>5</w:t>
      </w:r>
      <w:r>
        <w:rPr>
          <w:rFonts w:hint="eastAsia"/>
        </w:rPr>
        <w:t>.5的规定。</w:t>
      </w:r>
    </w:p>
    <w:p w14:paraId="36E452AE">
      <w:pPr>
        <w:pStyle w:val="79"/>
        <w:spacing w:before="156" w:after="156"/>
        <w:ind w:left="0"/>
      </w:pPr>
      <w:r>
        <w:rPr>
          <w:rFonts w:hint="eastAsia"/>
        </w:rPr>
        <w:t>人员要求</w:t>
      </w:r>
    </w:p>
    <w:p w14:paraId="7044B4A6">
      <w:pPr>
        <w:pStyle w:val="56"/>
        <w:ind w:firstLine="420"/>
      </w:pPr>
      <w:r>
        <w:rPr>
          <w:rFonts w:hint="eastAsia"/>
        </w:rPr>
        <w:t>按本标准实施检测的人员，应按NB/T 47013规定的或合同各方同意的体系进行资格鉴定与认证，并由雇主或其代理对其进行岗位培训和操作授权。</w:t>
      </w:r>
    </w:p>
    <w:p w14:paraId="16D34389">
      <w:pPr>
        <w:pStyle w:val="79"/>
        <w:spacing w:before="156" w:after="156"/>
        <w:ind w:left="0"/>
      </w:pPr>
      <w:bookmarkStart w:id="107" w:name="_Toc128404549"/>
      <w:bookmarkStart w:id="108" w:name="_Toc128404519"/>
      <w:r>
        <w:rPr>
          <w:rFonts w:hint="eastAsia"/>
        </w:rPr>
        <w:t>检测系统</w:t>
      </w:r>
      <w:bookmarkEnd w:id="107"/>
      <w:bookmarkEnd w:id="108"/>
    </w:p>
    <w:p w14:paraId="41D2A2BB">
      <w:pPr>
        <w:pStyle w:val="56"/>
        <w:ind w:firstLine="420"/>
      </w:pPr>
      <w:r>
        <w:rPr>
          <w:rFonts w:hint="eastAsia"/>
        </w:rPr>
        <w:t>模态声发射检测系统应包括：宽频带声发射传感器，前置放大器，高通滤波器或/和低通滤波器，放大器，A/D转换器，数据采集和分析软件等。模态声发射检测系统应具有模拟与数字滤波器；在20-1000 kHz范围内具有平坦的频率响应特性(±1.5dB)；必须具有实时撞击波形采集、存储与模态特征参数的提取；发射系统的采样频率需不小于2MHz；每个撞击波形的记录长度需包含足够的预触发及波形衰减长度。前置放大器应在规定的传感器频率范围内具有平坦的频率响应(1 dB)。模态声发射检测系统应包括一个标称值为20 kHz的高通滤波器。如果外部噪声不妨碍测量，可以使用低至5 kHz的高通滤波器。此外，如果信号中的频率高于奈奎斯特频率，则应使用低通滤波器来防止出现数字混叠。</w:t>
      </w:r>
    </w:p>
    <w:p w14:paraId="48B9B01B">
      <w:pPr>
        <w:pStyle w:val="79"/>
        <w:spacing w:before="156" w:after="156"/>
        <w:ind w:left="0"/>
      </w:pPr>
      <w:bookmarkStart w:id="109" w:name="_Toc128404520"/>
      <w:bookmarkStart w:id="110" w:name="_Toc128404550"/>
      <w:r>
        <w:rPr>
          <w:rFonts w:hint="eastAsia"/>
        </w:rPr>
        <w:t>系统校准</w:t>
      </w:r>
      <w:bookmarkEnd w:id="109"/>
      <w:bookmarkEnd w:id="110"/>
    </w:p>
    <w:p w14:paraId="16A5E34A">
      <w:pPr>
        <w:pStyle w:val="56"/>
        <w:ind w:firstLine="420"/>
      </w:pPr>
      <w:r>
        <w:rPr>
          <w:rFonts w:hint="eastAsia"/>
        </w:rPr>
        <w:t>传感器、前置放大器和系统主机每年至少进行一次校准。传感器的校准按照</w:t>
      </w:r>
      <w:r>
        <w:rPr>
          <w:rFonts w:hint="eastAsia"/>
          <w:highlight w:val="yellow"/>
        </w:rPr>
        <w:t>GB/T19800</w:t>
      </w:r>
      <w:r>
        <w:rPr>
          <w:rFonts w:hint="eastAsia"/>
        </w:rPr>
        <w:t>和</w:t>
      </w:r>
      <w:r>
        <w:rPr>
          <w:rFonts w:hint="eastAsia"/>
          <w:highlight w:val="yellow"/>
        </w:rPr>
        <w:t>GB/T19801</w:t>
      </w:r>
      <w:r>
        <w:rPr>
          <w:rFonts w:hint="eastAsia"/>
        </w:rPr>
        <w:t>的规定执行，其他部件的校准按仪器制造商规定的方法进行。仪器使用单位应制定校准作业指导书，校准结果应有相应记录和报告。</w:t>
      </w:r>
    </w:p>
    <w:p w14:paraId="34CE3C61">
      <w:pPr>
        <w:pStyle w:val="79"/>
        <w:spacing w:before="156" w:after="156"/>
        <w:ind w:left="0"/>
      </w:pPr>
      <w:r>
        <w:rPr>
          <w:rFonts w:hint="eastAsia"/>
        </w:rPr>
        <w:t>传感器校准</w:t>
      </w:r>
    </w:p>
    <w:p w14:paraId="19519912">
      <w:pPr>
        <w:pStyle w:val="56"/>
        <w:ind w:firstLine="420"/>
      </w:pPr>
      <w:r>
        <w:rPr>
          <w:rFonts w:hint="eastAsia"/>
        </w:rPr>
        <w:t>传感器应具有由绝对校准确定的平坦频率响应(在50 kHz至400 kHz的指定频率范围内，振幅响应为6 dB)。对于传感器与气瓶的有效接触面积，传感器的压电晶体直径应小于13mm。传感器灵敏度应至少为0.05 V/nm(去除所有放大)。</w:t>
      </w:r>
    </w:p>
    <w:p w14:paraId="09259696">
      <w:pPr>
        <w:pStyle w:val="79"/>
        <w:spacing w:before="156" w:after="156"/>
        <w:ind w:left="0"/>
      </w:pPr>
      <w:r>
        <w:rPr>
          <w:rFonts w:hint="eastAsia"/>
        </w:rPr>
        <w:t>滚球冲击校准</w:t>
      </w:r>
    </w:p>
    <w:p w14:paraId="2C621A80">
      <w:pPr>
        <w:pStyle w:val="56"/>
        <w:ind w:firstLine="420"/>
      </w:pPr>
      <w:r>
        <w:rPr>
          <w:rFonts w:hint="eastAsia"/>
        </w:rPr>
        <w:t>应使用滚球冲击方法对声发射系统各个通道进行校准。滚珠撞击器用于在铝合金校准板中产生声脉冲。图C.1说明了滚球撞击设置。</w:t>
      </w:r>
    </w:p>
    <w:p w14:paraId="26F303AD">
      <w:pPr>
        <w:pStyle w:val="56"/>
        <w:ind w:firstLine="420"/>
      </w:pPr>
    </w:p>
    <w:p w14:paraId="750D3B70">
      <w:pPr>
        <w:pStyle w:val="79"/>
        <w:numPr>
          <w:ilvl w:val="0"/>
          <w:numId w:val="0"/>
        </w:numPr>
        <w:spacing w:before="156" w:after="156"/>
        <w:jc w:val="center"/>
      </w:pPr>
      <w:bookmarkStart w:id="111" w:name="_Toc128404521"/>
      <w:bookmarkStart w:id="112" w:name="_Toc128404551"/>
      <w:r>
        <w:drawing>
          <wp:inline distT="0" distB="0" distL="0" distR="0">
            <wp:extent cx="4191635" cy="2048510"/>
            <wp:effectExtent l="0" t="0" r="0" b="8890"/>
            <wp:docPr id="198620649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06492" name="image1.jpeg"/>
                    <pic:cNvPicPr>
                      <a:picLocks noChangeAspect="1"/>
                    </pic:cNvPicPr>
                  </pic:nvPicPr>
                  <pic:blipFill>
                    <a:blip r:embed="rId19" cstate="print"/>
                    <a:stretch>
                      <a:fillRect/>
                    </a:stretch>
                  </pic:blipFill>
                  <pic:spPr>
                    <a:xfrm>
                      <a:off x="0" y="0"/>
                      <a:ext cx="4191635" cy="2048510"/>
                    </a:xfrm>
                    <a:prstGeom prst="rect">
                      <a:avLst/>
                    </a:prstGeom>
                  </pic:spPr>
                </pic:pic>
              </a:graphicData>
            </a:graphic>
          </wp:inline>
        </w:drawing>
      </w:r>
      <w:bookmarkEnd w:id="111"/>
      <w:bookmarkEnd w:id="112"/>
    </w:p>
    <w:p w14:paraId="3EA803E8">
      <w:pPr>
        <w:pStyle w:val="83"/>
        <w:spacing w:before="156" w:after="156"/>
      </w:pPr>
      <w:r>
        <w:rPr>
          <w:rFonts w:hint="eastAsia"/>
        </w:rPr>
        <w:t>滚珠撞击器能量校准设置示例</w:t>
      </w:r>
    </w:p>
    <w:p w14:paraId="45608C02">
      <w:pPr>
        <w:pStyle w:val="56"/>
        <w:ind w:firstLine="420"/>
      </w:pPr>
      <w:r>
        <w:rPr>
          <w:rFonts w:hint="eastAsia"/>
        </w:rPr>
        <w:t>该装置应包括一个直径为13mm的钢球，由硬化至最低HRC 63的铬钢合金制成，研磨至最低表面光洁度为38 m，实际尺寸在2.5 m以内，圆度在0.6 m以内。校准板应由高强度7 000系列铝合金(例如7075-T6)制成，表面光滑，横向尺寸至少为1.20m×1.20m，厚度为3mm±10%(例如最大轧制平整度偏差为3 mm/1 m)。校准板由刚性块支撑(例如钢或木头)。校准板碰撞边缘的表面光洁度应至少为13 m RMS。撞击球滚下一个斜面，斜面上有一个9.5毫米宽、2.5毫米深的机械加工方形凹槽，凹槽支撑并引导球到达撞击点。凹槽的最小长度应为400 mm，最小表面光洁度为26微米RMS。斜面的角度应为6°。斜面的顶面应靠近校准板的边缘，并位于校准板下边缘的下方，以便球体撞击校准板时，球体的相同部分在校准板平面的上方和下方伸出(即球体的切点撞击校准板的中心平面)。应使用机械装置(手动或自动)将冲击球从斜面上释放下来。传感器应放置在校准板上，垂直方向距离碰撞边缘300±10mm，与碰撞位置成一直线。</w:t>
      </w:r>
    </w:p>
    <w:p w14:paraId="00639E3B">
      <w:pPr>
        <w:pStyle w:val="56"/>
        <w:ind w:firstLine="420"/>
      </w:pPr>
      <w:r>
        <w:rPr>
          <w:rFonts w:hint="eastAsia"/>
        </w:rPr>
        <w:t>应使用耦合剂将传感器安装在校准板上，以防止传感器和校准板表面之间有任何空气，并通过滚球撞击法单独进行测试。MAE传感器可以被阻尼以拓宽带宽。球撞击点的垂直位置应逐渐调整，以使声音信号达到峰值，如在超声波测试中，角度稍微变化以使响应达到峰值。基本拉伸模式板波(E0波)的第一个周期的中心频率应确定为125 kHz±10 kHz。</w:t>
      </w:r>
    </w:p>
    <w:p w14:paraId="1F718602">
      <w:pPr>
        <w:pStyle w:val="56"/>
        <w:ind w:firstLine="420"/>
      </w:pPr>
      <w:r>
        <w:rPr>
          <w:rFonts w:hint="eastAsia"/>
        </w:rPr>
        <w:t>这应是“端到端”校准，即使用实际测试中使用的完整MAE仪器(传感器、电缆、前置放大器、放大器、滤波器和数字化仪)测量能量。完整的MAE仪器的能量线性度应通过使用200±10 mm、300±10 mm和400±10 mm三种不同的辊长来测量。可以使用具有典型灵敏度曲线的代表性传感器进行系统的线性度检查。波的开始应从可识别为E波前端的波形的第一个周期到弯曲模板波(F波)的结束，在E波开始后140 μs记录。系统应计算并记录测得的波能。</w:t>
      </w:r>
    </w:p>
    <w:p w14:paraId="475706D4">
      <w:pPr>
        <w:pStyle w:val="79"/>
        <w:spacing w:before="156" w:after="156"/>
        <w:ind w:left="0"/>
      </w:pPr>
      <w:r>
        <w:rPr>
          <w:rFonts w:hint="eastAsia"/>
        </w:rPr>
        <w:t>工艺规程</w:t>
      </w:r>
    </w:p>
    <w:p w14:paraId="6196A28C">
      <w:pPr>
        <w:pStyle w:val="213"/>
        <w:ind w:left="0"/>
      </w:pPr>
      <w:r>
        <w:rPr>
          <w:rFonts w:hint="eastAsia"/>
        </w:rPr>
        <w:t>从事模态声发射检测的单位应按本文件的要求制定检测工艺规程，并进行验证。检测工艺规程除应包括</w:t>
      </w:r>
      <w:r>
        <w:rPr>
          <w:rFonts w:hint="eastAsia"/>
          <w:highlight w:val="yellow"/>
        </w:rPr>
        <w:t>GB/T 26644</w:t>
      </w:r>
      <w:r>
        <w:rPr>
          <w:rFonts w:hint="eastAsia"/>
        </w:rPr>
        <w:t>的有关内容外，还应至少包括以下内容：</w:t>
      </w:r>
    </w:p>
    <w:p w14:paraId="6AE6B1C5">
      <w:pPr>
        <w:pStyle w:val="174"/>
        <w:numPr>
          <w:ilvl w:val="0"/>
          <w:numId w:val="55"/>
        </w:numPr>
      </w:pPr>
      <w:r>
        <w:rPr>
          <w:rFonts w:hint="eastAsia"/>
        </w:rPr>
        <w:t>被检件的信息：几何形状和尺寸、材质、材料热处理状态、设计与运行参数；</w:t>
      </w:r>
    </w:p>
    <w:p w14:paraId="2F3EB566">
      <w:pPr>
        <w:pStyle w:val="174"/>
      </w:pPr>
      <w:r>
        <w:rPr>
          <w:rFonts w:hint="eastAsia"/>
        </w:rPr>
        <w:t>检测覆盖范围及传感器阵列确定；</w:t>
      </w:r>
    </w:p>
    <w:p w14:paraId="13C1D403">
      <w:pPr>
        <w:pStyle w:val="174"/>
      </w:pPr>
      <w:r>
        <w:rPr>
          <w:rFonts w:hint="eastAsia"/>
        </w:rPr>
        <w:t>被检件表面状态及传感器安装方式；</w:t>
      </w:r>
    </w:p>
    <w:p w14:paraId="74AC3EB4">
      <w:pPr>
        <w:pStyle w:val="174"/>
      </w:pPr>
      <w:r>
        <w:rPr>
          <w:rFonts w:hint="eastAsia"/>
        </w:rPr>
        <w:t>灵敏度测量、衰减测量和定位校准；</w:t>
      </w:r>
    </w:p>
    <w:p w14:paraId="0EEE6D77">
      <w:pPr>
        <w:pStyle w:val="213"/>
        <w:ind w:left="0"/>
      </w:pPr>
      <w:r>
        <w:rPr>
          <w:rFonts w:hint="eastAsia"/>
        </w:rPr>
        <w:t>检测工艺规程包括以下重要因素：</w:t>
      </w:r>
    </w:p>
    <w:p w14:paraId="6BEA1B43">
      <w:pPr>
        <w:pStyle w:val="174"/>
        <w:numPr>
          <w:ilvl w:val="0"/>
          <w:numId w:val="56"/>
        </w:numPr>
      </w:pPr>
      <w:r>
        <w:rPr>
          <w:rFonts w:hint="eastAsia"/>
        </w:rPr>
        <w:t>模态声发射仪规格型号；</w:t>
      </w:r>
    </w:p>
    <w:p w14:paraId="0F24B98D">
      <w:pPr>
        <w:pStyle w:val="174"/>
      </w:pPr>
      <w:r>
        <w:rPr>
          <w:rFonts w:hint="eastAsia"/>
        </w:rPr>
        <w:t>传感器规格型号；</w:t>
      </w:r>
    </w:p>
    <w:p w14:paraId="0EEF1265">
      <w:pPr>
        <w:pStyle w:val="174"/>
      </w:pPr>
      <w:r>
        <w:rPr>
          <w:rFonts w:hint="eastAsia"/>
        </w:rPr>
        <w:t>判定缺陷使用的模态声发射信号参数和方法；</w:t>
      </w:r>
    </w:p>
    <w:p w14:paraId="04A15AB4">
      <w:pPr>
        <w:pStyle w:val="174"/>
      </w:pPr>
      <w:r>
        <w:rPr>
          <w:rFonts w:hint="eastAsia"/>
        </w:rPr>
        <w:t>人员技能要求（必要时）。</w:t>
      </w:r>
    </w:p>
    <w:p w14:paraId="3D214CBC">
      <w:pPr>
        <w:pStyle w:val="56"/>
        <w:ind w:firstLine="420"/>
      </w:pPr>
      <w:r>
        <w:rPr>
          <w:rFonts w:hint="eastAsia"/>
        </w:rPr>
        <w:t>4.5.3　检测工艺规程包括以下一般因素：</w:t>
      </w:r>
    </w:p>
    <w:p w14:paraId="41899B9E">
      <w:pPr>
        <w:pStyle w:val="174"/>
        <w:numPr>
          <w:ilvl w:val="0"/>
          <w:numId w:val="57"/>
        </w:numPr>
      </w:pPr>
      <w:r>
        <w:rPr>
          <w:rFonts w:hint="eastAsia"/>
        </w:rPr>
        <w:t>检测压力；</w:t>
      </w:r>
    </w:p>
    <w:p w14:paraId="5723D5A3">
      <w:pPr>
        <w:pStyle w:val="174"/>
      </w:pPr>
      <w:r>
        <w:rPr>
          <w:rFonts w:hint="eastAsia"/>
        </w:rPr>
        <w:t>检测温度；</w:t>
      </w:r>
    </w:p>
    <w:p w14:paraId="14C7B4DF">
      <w:pPr>
        <w:pStyle w:val="174"/>
      </w:pPr>
      <w:r>
        <w:rPr>
          <w:rFonts w:hint="eastAsia"/>
        </w:rPr>
        <w:t>保压时间；</w:t>
      </w:r>
    </w:p>
    <w:p w14:paraId="4C727CA5">
      <w:pPr>
        <w:pStyle w:val="174"/>
      </w:pPr>
      <w:r>
        <w:rPr>
          <w:rFonts w:hint="eastAsia"/>
        </w:rPr>
        <w:t>验收准则；</w:t>
      </w:r>
    </w:p>
    <w:p w14:paraId="5F24912B">
      <w:pPr>
        <w:pStyle w:val="174"/>
      </w:pPr>
      <w:r>
        <w:rPr>
          <w:rFonts w:hint="eastAsia"/>
        </w:rPr>
        <w:t>人员资格。</w:t>
      </w:r>
    </w:p>
    <w:p w14:paraId="18E2068D">
      <w:pPr>
        <w:pStyle w:val="56"/>
        <w:ind w:firstLine="420"/>
      </w:pPr>
      <w:r>
        <w:rPr>
          <w:rFonts w:hint="eastAsia"/>
        </w:rPr>
        <w:t>当重要因素发生变化时，应重新编制和验证检测工艺规程。</w:t>
      </w:r>
    </w:p>
    <w:p w14:paraId="3222003A">
      <w:pPr>
        <w:pStyle w:val="79"/>
        <w:spacing w:before="156" w:after="156"/>
        <w:ind w:left="0"/>
      </w:pPr>
      <w:bookmarkStart w:id="113" w:name="_Toc128404552"/>
      <w:bookmarkStart w:id="114" w:name="_Toc128404522"/>
      <w:r>
        <w:rPr>
          <w:rFonts w:hint="eastAsia"/>
        </w:rPr>
        <w:t>安全要求</w:t>
      </w:r>
      <w:bookmarkEnd w:id="113"/>
      <w:bookmarkEnd w:id="114"/>
    </w:p>
    <w:p w14:paraId="5D6F82F7">
      <w:pPr>
        <w:pStyle w:val="56"/>
        <w:ind w:firstLine="420"/>
      </w:pPr>
      <w:r>
        <w:rPr>
          <w:rFonts w:hint="eastAsia"/>
        </w:rPr>
        <w:t>使用本部分的用户有义务在检测前建立适当的安全和健康准则，部分安全要求如下：</w:t>
      </w:r>
    </w:p>
    <w:p w14:paraId="1A002C07">
      <w:pPr>
        <w:pStyle w:val="174"/>
        <w:numPr>
          <w:ilvl w:val="0"/>
          <w:numId w:val="58"/>
        </w:numPr>
      </w:pPr>
      <w:r>
        <w:rPr>
          <w:rFonts w:hint="eastAsia"/>
        </w:rPr>
        <w:t>检测人员应根据检测地点的要求穿戴防护工作服和佩戴有关防护设备；</w:t>
      </w:r>
    </w:p>
    <w:p w14:paraId="13A5CA68">
      <w:pPr>
        <w:pStyle w:val="174"/>
      </w:pPr>
      <w:r>
        <w:rPr>
          <w:rFonts w:hint="eastAsia"/>
        </w:rPr>
        <w:t>在进行气压试验检测时，应制定特别的安全措施；</w:t>
      </w:r>
    </w:p>
    <w:p w14:paraId="5A52C4A8">
      <w:pPr>
        <w:pStyle w:val="174"/>
      </w:pPr>
      <w:r>
        <w:rPr>
          <w:rFonts w:hint="eastAsia"/>
        </w:rPr>
        <w:t>在线检测时，应避免安全阀过早或突然开启引起的危险后果；</w:t>
      </w:r>
    </w:p>
    <w:p w14:paraId="344F48CF">
      <w:pPr>
        <w:pStyle w:val="174"/>
      </w:pPr>
      <w:r>
        <w:rPr>
          <w:rFonts w:hint="eastAsia"/>
        </w:rPr>
        <w:t>如有要求，使用的电子仪器应具有防爆功能。</w:t>
      </w:r>
    </w:p>
    <w:p w14:paraId="60A8F6A1">
      <w:pPr>
        <w:pStyle w:val="78"/>
        <w:spacing w:before="156" w:after="156"/>
      </w:pPr>
      <w:bookmarkStart w:id="115" w:name="_Toc128404523"/>
      <w:bookmarkStart w:id="116" w:name="_Toc128404553"/>
      <w:bookmarkStart w:id="117" w:name="_Toc128404576"/>
      <w:r>
        <w:rPr>
          <w:rFonts w:hint="eastAsia"/>
        </w:rPr>
        <w:t>检测</w:t>
      </w:r>
      <w:bookmarkEnd w:id="115"/>
      <w:bookmarkEnd w:id="116"/>
      <w:bookmarkEnd w:id="117"/>
      <w:r>
        <w:rPr>
          <w:rFonts w:hint="eastAsia"/>
        </w:rPr>
        <w:t>步骤</w:t>
      </w:r>
    </w:p>
    <w:p w14:paraId="4D0A58A0">
      <w:pPr>
        <w:pStyle w:val="79"/>
        <w:spacing w:before="156" w:after="156"/>
        <w:ind w:left="0"/>
      </w:pPr>
      <w:bookmarkStart w:id="118" w:name="_Toc128404524"/>
      <w:bookmarkStart w:id="119" w:name="_Toc128404554"/>
      <w:r>
        <w:rPr>
          <w:rFonts w:hint="eastAsia"/>
        </w:rPr>
        <w:t>检测前的准备</w:t>
      </w:r>
      <w:bookmarkEnd w:id="118"/>
      <w:bookmarkEnd w:id="119"/>
    </w:p>
    <w:p w14:paraId="20F6DFAC">
      <w:pPr>
        <w:pStyle w:val="81"/>
        <w:spacing w:before="156" w:after="156"/>
        <w:ind w:left="0"/>
      </w:pPr>
      <w:r>
        <w:rPr>
          <w:rFonts w:hint="eastAsia"/>
        </w:rPr>
        <w:t>资料审查</w:t>
      </w:r>
    </w:p>
    <w:p w14:paraId="39EF9264">
      <w:pPr>
        <w:pStyle w:val="56"/>
        <w:ind w:firstLine="420"/>
      </w:pPr>
      <w:r>
        <w:rPr>
          <w:rFonts w:hint="eastAsia"/>
        </w:rPr>
        <w:t>资料审查应包括以下内容：</w:t>
      </w:r>
    </w:p>
    <w:p w14:paraId="36CFD60D">
      <w:pPr>
        <w:pStyle w:val="174"/>
        <w:numPr>
          <w:ilvl w:val="0"/>
          <w:numId w:val="59"/>
        </w:numPr>
      </w:pPr>
      <w:r>
        <w:rPr>
          <w:rFonts w:hint="eastAsia"/>
        </w:rPr>
        <w:t>设备制造文件资料：设备的整理结构图和重要部件结构图等；</w:t>
      </w:r>
    </w:p>
    <w:p w14:paraId="5E5394C0">
      <w:pPr>
        <w:pStyle w:val="174"/>
      </w:pPr>
      <w:r>
        <w:rPr>
          <w:rFonts w:hint="eastAsia"/>
        </w:rPr>
        <w:t>设备运行记录资料：运行参数、工作介质、载荷变化情况以及运行中出现的异常情况等；</w:t>
      </w:r>
    </w:p>
    <w:p w14:paraId="477E7665">
      <w:pPr>
        <w:pStyle w:val="174"/>
      </w:pPr>
      <w:r>
        <w:rPr>
          <w:rFonts w:hint="eastAsia"/>
        </w:rPr>
        <w:t>检验资料：历年检验报告；</w:t>
      </w:r>
    </w:p>
    <w:p w14:paraId="5990E911">
      <w:pPr>
        <w:pStyle w:val="174"/>
      </w:pPr>
      <w:r>
        <w:rPr>
          <w:rFonts w:hint="eastAsia"/>
        </w:rPr>
        <w:t>其他资料：修理和改造的文件资料等。</w:t>
      </w:r>
    </w:p>
    <w:p w14:paraId="274A0BFE">
      <w:pPr>
        <w:pStyle w:val="81"/>
        <w:spacing w:before="156" w:after="156"/>
        <w:ind w:left="0"/>
      </w:pPr>
      <w:r>
        <w:rPr>
          <w:rFonts w:hint="eastAsia"/>
        </w:rPr>
        <w:t>检测现场勘查</w:t>
      </w:r>
    </w:p>
    <w:p w14:paraId="5EBAC871">
      <w:pPr>
        <w:pStyle w:val="56"/>
        <w:ind w:firstLine="420"/>
      </w:pPr>
      <w:r>
        <w:rPr>
          <w:rFonts w:hint="eastAsia"/>
        </w:rPr>
        <w:t>在勘查检测现场时，应找出可能出现的噪声源，如固定支架的摩擦、内部或外部附件的移动、电磁干扰、机械振动和流体流动等。应排除噪声源，否则应进行记录。</w:t>
      </w:r>
    </w:p>
    <w:p w14:paraId="3EA88798">
      <w:pPr>
        <w:pStyle w:val="81"/>
        <w:spacing w:before="156" w:after="156"/>
        <w:ind w:left="0"/>
      </w:pPr>
      <w:r>
        <w:rPr>
          <w:rFonts w:hint="eastAsia"/>
        </w:rPr>
        <w:t>检测方案的制定</w:t>
      </w:r>
    </w:p>
    <w:p w14:paraId="6266A550">
      <w:pPr>
        <w:pStyle w:val="56"/>
        <w:ind w:firstLine="420"/>
      </w:pPr>
      <w:r>
        <w:rPr>
          <w:rFonts w:hint="eastAsia"/>
        </w:rPr>
        <w:t>检测方案应考虑的因素，除符合通用工艺规程外，还应考虑以下三个因素：</w:t>
      </w:r>
    </w:p>
    <w:p w14:paraId="16E0D8C3">
      <w:pPr>
        <w:pStyle w:val="174"/>
        <w:numPr>
          <w:ilvl w:val="0"/>
          <w:numId w:val="60"/>
        </w:numPr>
      </w:pPr>
      <w:r>
        <w:rPr>
          <w:rFonts w:hint="eastAsia"/>
        </w:rPr>
        <w:t>检测条件的确定：根据现场情况确定检测条件，建立检测人员和加压控制人员的联络方式；</w:t>
      </w:r>
    </w:p>
    <w:p w14:paraId="4AE87D7E">
      <w:pPr>
        <w:pStyle w:val="174"/>
      </w:pPr>
      <w:r>
        <w:rPr>
          <w:rFonts w:hint="eastAsia"/>
        </w:rPr>
        <w:t>传感器阵列的确定：根据被检件几何尺寸及泄漏检测选用方法，确定传感器布置的阵列。如无特殊要求，相邻传感器之间的间距应接近；</w:t>
      </w:r>
    </w:p>
    <w:p w14:paraId="54231DA5">
      <w:pPr>
        <w:pStyle w:val="174"/>
      </w:pPr>
      <w:r>
        <w:rPr>
          <w:rFonts w:hint="eastAsia"/>
        </w:rPr>
        <w:t>确定加压程序：根据检测选用的模态声发射仪器，检测方法及被检件实际条件，确定加压和保压的程序和时间。</w:t>
      </w:r>
    </w:p>
    <w:p w14:paraId="623518BC">
      <w:pPr>
        <w:pStyle w:val="79"/>
        <w:spacing w:before="156" w:after="156"/>
        <w:ind w:left="0"/>
      </w:pPr>
      <w:bookmarkStart w:id="120" w:name="_Toc128404555"/>
      <w:bookmarkStart w:id="121" w:name="_Toc128404525"/>
      <w:r>
        <w:rPr>
          <w:rFonts w:hint="eastAsia"/>
        </w:rPr>
        <w:t>传感器的安装</w:t>
      </w:r>
      <w:bookmarkEnd w:id="120"/>
      <w:bookmarkEnd w:id="121"/>
    </w:p>
    <w:p w14:paraId="2A02BD50">
      <w:pPr>
        <w:pStyle w:val="56"/>
        <w:ind w:firstLine="420"/>
      </w:pPr>
      <w:r>
        <w:rPr>
          <w:rFonts w:hint="eastAsia"/>
        </w:rPr>
        <w:t>传感器的安装应满足以下要求：</w:t>
      </w:r>
    </w:p>
    <w:p w14:paraId="462577CF">
      <w:pPr>
        <w:pStyle w:val="174"/>
        <w:numPr>
          <w:ilvl w:val="0"/>
          <w:numId w:val="61"/>
        </w:numPr>
      </w:pPr>
      <w:r>
        <w:rPr>
          <w:rFonts w:hint="eastAsia"/>
        </w:rPr>
        <w:t>按照确定的传感器阵列在被检件上确定传感器安装的具体位置，整体检测时，传感器的安装部位尽量远离支座、支柱等部位；局部检测时，被检测部位应位于传感器阵列中间；</w:t>
      </w:r>
    </w:p>
    <w:p w14:paraId="2672208F">
      <w:pPr>
        <w:pStyle w:val="174"/>
      </w:pPr>
      <w:r>
        <w:rPr>
          <w:rFonts w:hint="eastAsia"/>
        </w:rPr>
        <w:t>在传感器的安装部位涂上耦合剂，耦合剂应采用声耦合性能良好的材料，推荐采用真空脂、凡士林、黄油等材料，选用耦合剂的使用温度等级应与被检件表面温度相匹配；</w:t>
      </w:r>
    </w:p>
    <w:p w14:paraId="0357D80F">
      <w:pPr>
        <w:pStyle w:val="174"/>
      </w:pPr>
      <w:r>
        <w:rPr>
          <w:rFonts w:hint="eastAsia"/>
        </w:rPr>
        <w:t>将传感器压在被检件的表面，使传感器与被检件表面达到良好的声耦合状态；</w:t>
      </w:r>
    </w:p>
    <w:p w14:paraId="5C085D36">
      <w:pPr>
        <w:pStyle w:val="174"/>
      </w:pPr>
      <w:r>
        <w:rPr>
          <w:rFonts w:hint="eastAsia"/>
        </w:rPr>
        <w:t>采用磁夹具、胶带纸或其他方式将传感器牢固固定在被检件上，并保持传感器与被检件和固定装置的绝缘；</w:t>
      </w:r>
    </w:p>
    <w:p w14:paraId="47ECCF70">
      <w:pPr>
        <w:pStyle w:val="174"/>
      </w:pPr>
      <w:r>
        <w:rPr>
          <w:rFonts w:hint="eastAsia"/>
        </w:rPr>
        <w:t>对于低温或高温设备的检测，可采用波导杆来盖申传感器的耦合温度，但应测量波导杆对声发射信号衰减和定位特性的影响。</w:t>
      </w:r>
    </w:p>
    <w:p w14:paraId="62DEC7F6">
      <w:pPr>
        <w:pStyle w:val="79"/>
        <w:spacing w:before="156" w:after="156"/>
        <w:ind w:left="0"/>
      </w:pPr>
      <w:bookmarkStart w:id="122" w:name="_Toc128404556"/>
      <w:bookmarkStart w:id="123" w:name="_Toc128404526"/>
      <w:r>
        <w:rPr>
          <w:rFonts w:hint="eastAsia"/>
        </w:rPr>
        <w:t>检测系统的调试</w:t>
      </w:r>
      <w:bookmarkEnd w:id="122"/>
      <w:bookmarkEnd w:id="123"/>
    </w:p>
    <w:p w14:paraId="17AA2520">
      <w:pPr>
        <w:pStyle w:val="56"/>
        <w:ind w:firstLine="420"/>
      </w:pPr>
      <w:r>
        <w:rPr>
          <w:rFonts w:hint="eastAsia"/>
        </w:rPr>
        <w:t>将已安装的传感器与前置放大器和系统主机用电缆线连接，开机预热至系统稳定工作状态，对检测系统进行初步工作参数设计，然后按</w:t>
      </w:r>
      <w:r>
        <w:rPr>
          <w:rFonts w:hint="eastAsia"/>
          <w:highlight w:val="yellow"/>
          <w:lang w:val="en-US" w:eastAsia="zh-CN"/>
        </w:rPr>
        <w:t>C</w:t>
      </w:r>
      <w:r>
        <w:rPr>
          <w:rFonts w:hint="eastAsia"/>
          <w:highlight w:val="yellow"/>
        </w:rPr>
        <w:t>5.3.1-</w:t>
      </w:r>
      <w:r>
        <w:rPr>
          <w:rFonts w:hint="eastAsia"/>
          <w:highlight w:val="yellow"/>
          <w:lang w:val="en-US" w:eastAsia="zh-CN"/>
        </w:rPr>
        <w:t>C</w:t>
      </w:r>
      <w:r>
        <w:rPr>
          <w:rFonts w:hint="eastAsia"/>
          <w:highlight w:val="yellow"/>
        </w:rPr>
        <w:t>5.3.3</w:t>
      </w:r>
      <w:r>
        <w:rPr>
          <w:rFonts w:hint="eastAsia"/>
        </w:rPr>
        <w:t>的规定依次对系统进行调试。</w:t>
      </w:r>
    </w:p>
    <w:p w14:paraId="755F00A8">
      <w:pPr>
        <w:pStyle w:val="81"/>
        <w:spacing w:before="156" w:after="156"/>
        <w:ind w:left="0"/>
      </w:pPr>
      <w:r>
        <w:rPr>
          <w:rFonts w:hint="eastAsia"/>
        </w:rPr>
        <w:t>通道灵敏度测试</w:t>
      </w:r>
    </w:p>
    <w:p w14:paraId="58A92A89">
      <w:pPr>
        <w:pStyle w:val="56"/>
        <w:ind w:firstLine="420"/>
      </w:pPr>
      <w:r>
        <w:rPr>
          <w:rFonts w:hint="eastAsia"/>
        </w:rPr>
        <w:t>在检测开始前和结束后应进行通道灵敏度的测试。要求对每一个通道进行模拟源声发射幅值相应测试，每个通道响应的幅值值与所有通道的平均幅度值之差不应大于±4dB。如系统主机有自动传感器测试功能，检测结束后可采用该功能进行通道灵敏度测试。</w:t>
      </w:r>
    </w:p>
    <w:p w14:paraId="6CD1AD32">
      <w:pPr>
        <w:pStyle w:val="81"/>
        <w:spacing w:before="156" w:after="156"/>
        <w:ind w:left="0"/>
      </w:pPr>
      <w:r>
        <w:rPr>
          <w:rFonts w:hint="eastAsia"/>
        </w:rPr>
        <w:t>衰减测量</w:t>
      </w:r>
    </w:p>
    <w:p w14:paraId="42EE58CA">
      <w:pPr>
        <w:pStyle w:val="56"/>
        <w:ind w:firstLine="420"/>
      </w:pPr>
      <w:r>
        <w:rPr>
          <w:rFonts w:hint="eastAsia"/>
        </w:rPr>
        <w:t>应进行与声发射检测条件相同的衰减特性测量。衰减测量应选择远离固定支架的部位。如果已有检测条件相同的衰减特性数据，可不再进行衰减特性测量，但应把该衰减特性数据在本次检测记录和报告中注明。</w:t>
      </w:r>
    </w:p>
    <w:p w14:paraId="4CD12083">
      <w:pPr>
        <w:pStyle w:val="81"/>
        <w:spacing w:before="156" w:after="156"/>
        <w:ind w:left="0"/>
      </w:pPr>
      <w:r>
        <w:rPr>
          <w:rFonts w:hint="eastAsia"/>
        </w:rPr>
        <w:t>定位校准</w:t>
      </w:r>
    </w:p>
    <w:p w14:paraId="0DD92759">
      <w:pPr>
        <w:pStyle w:val="56"/>
        <w:ind w:firstLine="420"/>
      </w:pPr>
      <w:r>
        <w:rPr>
          <w:rFonts w:hint="eastAsia"/>
        </w:rPr>
        <w:t>在被检件上传感器阵列的任何部位，声发射模拟源产生的弹性波至少能被该定位阵列中的传感器收到，并得到唯一定位结果，定位部位与理论位置的偏差不超过该传感器阵列中最大传感器间距的5%。</w:t>
      </w:r>
    </w:p>
    <w:p w14:paraId="5EC72812">
      <w:pPr>
        <w:pStyle w:val="79"/>
        <w:spacing w:before="156" w:after="156"/>
        <w:ind w:left="0"/>
      </w:pPr>
      <w:bookmarkStart w:id="124" w:name="_Toc128404527"/>
      <w:bookmarkStart w:id="125" w:name="_Toc128404557"/>
      <w:r>
        <w:rPr>
          <w:rFonts w:hint="eastAsia"/>
        </w:rPr>
        <w:t>检测数据采集与过程观察</w:t>
      </w:r>
      <w:bookmarkEnd w:id="124"/>
      <w:bookmarkEnd w:id="125"/>
    </w:p>
    <w:p w14:paraId="195910DC">
      <w:pPr>
        <w:pStyle w:val="174"/>
        <w:numPr>
          <w:ilvl w:val="0"/>
          <w:numId w:val="62"/>
        </w:numPr>
      </w:pPr>
      <w:r>
        <w:rPr>
          <w:rFonts w:hint="eastAsia"/>
        </w:rPr>
        <w:t>数据采集在巡检模式下通过进行逐点测量来发现和确定泄漏点。如仪器允许，应储存所有点的检测数据。检测仪器如具备条件，应增加更多的参数，连续或周期性记录必要的检测数据。检测数据采集的持续时间应考虑背景噪声的测量值及其浮动范围。</w:t>
      </w:r>
    </w:p>
    <w:p w14:paraId="08E884FE">
      <w:pPr>
        <w:pStyle w:val="174"/>
      </w:pPr>
      <w:r>
        <w:rPr>
          <w:rFonts w:hint="eastAsia"/>
        </w:rPr>
        <w:t>检测时应观察声发射撞击数和（或）定位源随压力或时间的变化趋势，对于声发射定位源集中出现的部位，应查看是否有外部干扰因素，如存在应停止加压并尽快排除干扰因素。</w:t>
      </w:r>
    </w:p>
    <w:p w14:paraId="5B42B92C">
      <w:pPr>
        <w:pStyle w:val="174"/>
      </w:pPr>
      <w:r>
        <w:rPr>
          <w:rFonts w:hint="eastAsia"/>
        </w:rPr>
        <w:t>声发射撞击数随压力或时间的增加呈快速增加时，应及时停止加压，在未查出声发射撞击数增加的原因时，禁止继续加压。</w:t>
      </w:r>
    </w:p>
    <w:p w14:paraId="29C6AFF7">
      <w:pPr>
        <w:pStyle w:val="174"/>
      </w:pPr>
      <w:r>
        <w:rPr>
          <w:rFonts w:hint="eastAsia"/>
        </w:rPr>
        <w:t>检测中如遇到强噪声干扰时，应暂停检测，需在排除强噪声干扰后再进行检测。</w:t>
      </w:r>
    </w:p>
    <w:p w14:paraId="46596E8C">
      <w:pPr>
        <w:pStyle w:val="79"/>
        <w:spacing w:before="156" w:after="156"/>
        <w:ind w:left="0"/>
      </w:pPr>
      <w:bookmarkStart w:id="126" w:name="_Toc128404558"/>
      <w:bookmarkStart w:id="127" w:name="_Toc128404528"/>
      <w:r>
        <w:rPr>
          <w:rFonts w:hint="eastAsia"/>
        </w:rPr>
        <w:t>检测数据分析</w:t>
      </w:r>
      <w:bookmarkEnd w:id="126"/>
      <w:bookmarkEnd w:id="127"/>
    </w:p>
    <w:p w14:paraId="6FF2C633">
      <w:pPr>
        <w:pStyle w:val="174"/>
        <w:numPr>
          <w:ilvl w:val="0"/>
          <w:numId w:val="63"/>
        </w:numPr>
      </w:pPr>
      <w:r>
        <w:rPr>
          <w:rFonts w:hint="eastAsia"/>
        </w:rPr>
        <w:t>应在检测数据中标识出检测过程中出现的噪声数据，并在检测记录中注明。</w:t>
      </w:r>
    </w:p>
    <w:p w14:paraId="4FAA8E75">
      <w:pPr>
        <w:pStyle w:val="174"/>
      </w:pPr>
      <w:r>
        <w:rPr>
          <w:rFonts w:hint="eastAsia"/>
        </w:rPr>
        <w:t>利用软件滤波或数据图形显示分析的方法，从检测数据中分离出非相关声发射信号，并在检测记录中注明。</w:t>
      </w:r>
    </w:p>
    <w:p w14:paraId="5D280920">
      <w:pPr>
        <w:pStyle w:val="174"/>
      </w:pPr>
      <w:r>
        <w:rPr>
          <w:rFonts w:hint="eastAsia"/>
        </w:rPr>
        <w:t>根据检测数据确定相关声发射定位源的位置。如需进一步确认的声发射源，应通过模拟源定位来确定声发射源的具体位置。确定方法是在被检区域上某位置发射一个模拟源，若得到的定位源显示与检测数据中的声发射定位源部位显示一致，则该模拟源的位置为检测到的声发射定位源部位。</w:t>
      </w:r>
    </w:p>
    <w:p w14:paraId="63F2FCAB">
      <w:pPr>
        <w:pStyle w:val="78"/>
        <w:spacing w:before="156" w:after="156"/>
      </w:pPr>
      <w:bookmarkStart w:id="128" w:name="_Toc128404529"/>
      <w:bookmarkStart w:id="129" w:name="_Toc128404559"/>
      <w:bookmarkStart w:id="130" w:name="_Toc128404577"/>
      <w:r>
        <w:rPr>
          <w:rFonts w:hint="eastAsia"/>
        </w:rPr>
        <w:t>结果评价与分级</w:t>
      </w:r>
      <w:bookmarkEnd w:id="128"/>
      <w:bookmarkEnd w:id="129"/>
      <w:bookmarkEnd w:id="130"/>
    </w:p>
    <w:p w14:paraId="7BD42979">
      <w:pPr>
        <w:pStyle w:val="79"/>
        <w:spacing w:before="156" w:after="156"/>
        <w:ind w:left="0"/>
      </w:pPr>
      <w:bookmarkStart w:id="131" w:name="_Toc128404560"/>
      <w:bookmarkStart w:id="132" w:name="_Toc128404530"/>
      <w:r>
        <w:rPr>
          <w:rFonts w:hint="eastAsia"/>
        </w:rPr>
        <w:t>概述</w:t>
      </w:r>
      <w:bookmarkEnd w:id="131"/>
      <w:bookmarkEnd w:id="132"/>
    </w:p>
    <w:p w14:paraId="154802BE">
      <w:pPr>
        <w:pStyle w:val="174"/>
        <w:numPr>
          <w:ilvl w:val="0"/>
          <w:numId w:val="64"/>
        </w:numPr>
      </w:pPr>
      <w:r>
        <w:rPr>
          <w:rFonts w:hint="eastAsia"/>
        </w:rPr>
        <w:t>数据分析是为了辨识声发射源并划分源的等级。</w:t>
      </w:r>
    </w:p>
    <w:p w14:paraId="069DE933">
      <w:pPr>
        <w:pStyle w:val="174"/>
      </w:pPr>
      <w:r>
        <w:rPr>
          <w:rFonts w:hint="eastAsia"/>
        </w:rPr>
        <w:t>声发射发生的时间和相对应的载荷以及定位，提供了声发射源的相关可靠信息。</w:t>
      </w:r>
    </w:p>
    <w:p w14:paraId="73080983">
      <w:pPr>
        <w:pStyle w:val="174"/>
      </w:pPr>
      <w:r>
        <w:rPr>
          <w:rFonts w:hint="eastAsia"/>
        </w:rPr>
        <w:t>相关信息应以易理解的方式表述。</w:t>
      </w:r>
    </w:p>
    <w:p w14:paraId="1661EB71">
      <w:pPr>
        <w:pStyle w:val="174"/>
      </w:pPr>
      <w:r>
        <w:rPr>
          <w:rFonts w:hint="eastAsia"/>
        </w:rPr>
        <w:t>根据实际应用，定位类型可以是线性定位、平面定位、柱面定位、球面定位或三维定位。</w:t>
      </w:r>
    </w:p>
    <w:p w14:paraId="4592037A">
      <w:pPr>
        <w:pStyle w:val="174"/>
      </w:pPr>
      <w:r>
        <w:rPr>
          <w:rFonts w:hint="eastAsia"/>
        </w:rPr>
        <w:t>采用声发射模拟源可有助于被检构件上声发射源位置的确定。</w:t>
      </w:r>
    </w:p>
    <w:p w14:paraId="0D9C265B">
      <w:pPr>
        <w:pStyle w:val="79"/>
        <w:spacing w:before="156" w:after="156"/>
        <w:ind w:left="0"/>
      </w:pPr>
      <w:bookmarkStart w:id="133" w:name="_Toc128404561"/>
      <w:bookmarkStart w:id="134" w:name="_Toc128404531"/>
      <w:r>
        <w:rPr>
          <w:rFonts w:hint="eastAsia"/>
        </w:rPr>
        <w:t>声发射定位源的评价</w:t>
      </w:r>
      <w:bookmarkEnd w:id="133"/>
      <w:bookmarkEnd w:id="134"/>
    </w:p>
    <w:p w14:paraId="3A782C07">
      <w:pPr>
        <w:pStyle w:val="56"/>
        <w:ind w:firstLine="420"/>
      </w:pPr>
      <w:r>
        <w:rPr>
          <w:rFonts w:hint="eastAsia"/>
        </w:rPr>
        <w:t>声发射定位源的评价应在执行文件中列出，或通过签署书面协议或合同来规定。可接受声发射定位源的评价准则应考虑多方面的影响因素，例如：</w:t>
      </w:r>
    </w:p>
    <w:p w14:paraId="2F3DE083">
      <w:pPr>
        <w:pStyle w:val="174"/>
        <w:numPr>
          <w:ilvl w:val="0"/>
          <w:numId w:val="65"/>
        </w:numPr>
      </w:pPr>
      <w:r>
        <w:rPr>
          <w:rFonts w:hint="eastAsia"/>
        </w:rPr>
        <w:t>声发射源活性，即声发射信号随载荷（激励或时间）的增加情况；</w:t>
      </w:r>
    </w:p>
    <w:p w14:paraId="73DABE81">
      <w:pPr>
        <w:pStyle w:val="174"/>
      </w:pPr>
      <w:r>
        <w:rPr>
          <w:rFonts w:hint="eastAsia"/>
        </w:rPr>
        <w:t>保载期间的声发射源活性；</w:t>
      </w:r>
    </w:p>
    <w:p w14:paraId="29CB4E8E">
      <w:pPr>
        <w:pStyle w:val="174"/>
      </w:pPr>
      <w:r>
        <w:rPr>
          <w:rFonts w:hint="eastAsia"/>
        </w:rPr>
        <w:t>突发型声发射信号和施加载荷之间的相互关系；</w:t>
      </w:r>
    </w:p>
    <w:p w14:paraId="77916271">
      <w:pPr>
        <w:pStyle w:val="174"/>
      </w:pPr>
      <w:r>
        <w:rPr>
          <w:rFonts w:hint="eastAsia"/>
        </w:rPr>
        <w:t>活性声发射源的频率特征；</w:t>
      </w:r>
    </w:p>
    <w:p w14:paraId="1F7A867C">
      <w:pPr>
        <w:pStyle w:val="174"/>
      </w:pPr>
      <w:r>
        <w:rPr>
          <w:rFonts w:hint="eastAsia"/>
        </w:rPr>
        <w:t>声发射的空间聚集；</w:t>
      </w:r>
    </w:p>
    <w:p w14:paraId="3A85F938">
      <w:pPr>
        <w:pStyle w:val="174"/>
      </w:pPr>
      <w:r>
        <w:rPr>
          <w:rFonts w:hint="eastAsia"/>
        </w:rPr>
        <w:t>结构特征（如：修理、焊接等）与声发射源的对应特征。</w:t>
      </w:r>
    </w:p>
    <w:p w14:paraId="40B6BFB2">
      <w:pPr>
        <w:pStyle w:val="79"/>
        <w:spacing w:before="156" w:after="156"/>
        <w:ind w:left="0"/>
      </w:pPr>
      <w:bookmarkStart w:id="135" w:name="_Toc128404532"/>
      <w:bookmarkStart w:id="136" w:name="_Toc128404562"/>
      <w:r>
        <w:rPr>
          <w:rFonts w:hint="eastAsia"/>
        </w:rPr>
        <w:t>等级划分</w:t>
      </w:r>
      <w:bookmarkEnd w:id="135"/>
      <w:bookmarkEnd w:id="136"/>
    </w:p>
    <w:p w14:paraId="3DE4EE26">
      <w:pPr>
        <w:pStyle w:val="56"/>
        <w:ind w:firstLine="420"/>
      </w:pPr>
      <w:r>
        <w:rPr>
          <w:rFonts w:hint="eastAsia"/>
        </w:rPr>
        <w:t>对于已辨识的声发射源，其等级划分方法及随后复检要求应在检测工艺中规定。</w:t>
      </w:r>
    </w:p>
    <w:p w14:paraId="12910385">
      <w:pPr>
        <w:pStyle w:val="56"/>
        <w:ind w:firstLine="420"/>
      </w:pPr>
      <w:r>
        <w:rPr>
          <w:rFonts w:hint="eastAsia"/>
        </w:rPr>
        <w:t>声发射源的典型等级有：</w:t>
      </w:r>
    </w:p>
    <w:p w14:paraId="6040C561">
      <w:pPr>
        <w:pStyle w:val="174"/>
        <w:numPr>
          <w:ilvl w:val="0"/>
          <w:numId w:val="66"/>
        </w:numPr>
      </w:pPr>
      <w:r>
        <w:rPr>
          <w:rFonts w:hint="eastAsia"/>
        </w:rPr>
        <w:t>不相关；</w:t>
      </w:r>
    </w:p>
    <w:p w14:paraId="2FE0FFB1">
      <w:pPr>
        <w:pStyle w:val="174"/>
      </w:pPr>
      <w:r>
        <w:rPr>
          <w:rFonts w:hint="eastAsia"/>
        </w:rPr>
        <w:t>需进行常规无损检测方法复检；</w:t>
      </w:r>
    </w:p>
    <w:p w14:paraId="65BE00E4">
      <w:pPr>
        <w:pStyle w:val="174"/>
      </w:pPr>
      <w:r>
        <w:rPr>
          <w:rFonts w:hint="eastAsia"/>
        </w:rPr>
        <w:t>临界活性。</w:t>
      </w:r>
    </w:p>
    <w:p w14:paraId="453511A1">
      <w:pPr>
        <w:pStyle w:val="56"/>
        <w:ind w:firstLine="420"/>
      </w:pPr>
      <w:r>
        <w:rPr>
          <w:rFonts w:hint="eastAsia"/>
        </w:rPr>
        <w:t>声发射源等级评价可由更具体的产品声发射检测方法标准或最终由3级检测人员确定。建立在大量数据基础上的专业软件可对确定的定位区域自动评价和分级。</w:t>
      </w:r>
    </w:p>
    <w:p w14:paraId="1FF22F6C">
      <w:pPr>
        <w:pStyle w:val="56"/>
        <w:ind w:firstLine="420"/>
      </w:pPr>
      <w:r>
        <w:rPr>
          <w:rFonts w:hint="eastAsia"/>
        </w:rPr>
        <w:t>声发射源的复检，应采用其他无损检测方法进行、这些检测可与声发射检测同时进行，或在其之后进行。</w:t>
      </w:r>
    </w:p>
    <w:p w14:paraId="29120539">
      <w:pPr>
        <w:pStyle w:val="79"/>
        <w:spacing w:before="156" w:after="156"/>
        <w:ind w:left="0"/>
      </w:pPr>
      <w:bookmarkStart w:id="137" w:name="_Toc128404533"/>
      <w:bookmarkStart w:id="138" w:name="_Toc128404563"/>
      <w:r>
        <w:rPr>
          <w:rFonts w:hint="eastAsia"/>
        </w:rPr>
        <w:t>数据回放分析</w:t>
      </w:r>
      <w:bookmarkEnd w:id="137"/>
      <w:bookmarkEnd w:id="138"/>
    </w:p>
    <w:p w14:paraId="335F1E05">
      <w:pPr>
        <w:pStyle w:val="56"/>
        <w:ind w:firstLine="420"/>
      </w:pPr>
      <w:r>
        <w:rPr>
          <w:rFonts w:hint="eastAsia"/>
        </w:rPr>
        <w:t>数据回放分析可用于确定声发射源活动的时间，进行必要的数据过滤，以及为报告提供最终输出。</w:t>
      </w:r>
    </w:p>
    <w:p w14:paraId="630F7623">
      <w:pPr>
        <w:pStyle w:val="78"/>
        <w:spacing w:before="156" w:after="156"/>
      </w:pPr>
      <w:bookmarkStart w:id="139" w:name="_Toc128404564"/>
      <w:bookmarkStart w:id="140" w:name="_Toc128404578"/>
      <w:bookmarkStart w:id="141" w:name="_Toc128404534"/>
      <w:r>
        <w:rPr>
          <w:rFonts w:hint="eastAsia"/>
        </w:rPr>
        <w:t>记录和报告</w:t>
      </w:r>
      <w:bookmarkEnd w:id="139"/>
      <w:bookmarkEnd w:id="140"/>
      <w:bookmarkEnd w:id="141"/>
    </w:p>
    <w:p w14:paraId="63341220">
      <w:pPr>
        <w:pStyle w:val="79"/>
        <w:spacing w:before="156" w:after="156"/>
        <w:ind w:left="0"/>
      </w:pPr>
      <w:bookmarkStart w:id="142" w:name="_Toc128404535"/>
      <w:bookmarkStart w:id="143" w:name="_Toc128404565"/>
      <w:r>
        <w:rPr>
          <w:rFonts w:hint="eastAsia"/>
        </w:rPr>
        <w:t>记录</w:t>
      </w:r>
      <w:bookmarkEnd w:id="142"/>
      <w:bookmarkEnd w:id="143"/>
    </w:p>
    <w:p w14:paraId="5FA847AA">
      <w:pPr>
        <w:pStyle w:val="174"/>
        <w:numPr>
          <w:ilvl w:val="0"/>
          <w:numId w:val="67"/>
        </w:numPr>
      </w:pPr>
      <w:r>
        <w:rPr>
          <w:rFonts w:hint="eastAsia"/>
        </w:rPr>
        <w:t>应按检测工艺流程的要求记录检测数据或信息，并按相关法规、标准和（或）合同要求保存所有记录。</w:t>
      </w:r>
    </w:p>
    <w:p w14:paraId="55D23021">
      <w:pPr>
        <w:pStyle w:val="174"/>
      </w:pPr>
      <w:r>
        <w:rPr>
          <w:rFonts w:hint="eastAsia"/>
        </w:rPr>
        <w:t>检测时如遇不可排除的因素的噪声干扰，如风、雨、泄露和人为干扰等，应如实记录，并在检测结果中注明。</w:t>
      </w:r>
    </w:p>
    <w:p w14:paraId="7B8D46FD">
      <w:pPr>
        <w:pStyle w:val="79"/>
        <w:spacing w:before="156" w:after="156"/>
        <w:ind w:left="0"/>
      </w:pPr>
      <w:bookmarkStart w:id="144" w:name="_Toc128404536"/>
      <w:bookmarkStart w:id="145" w:name="_Toc128404566"/>
      <w:r>
        <w:rPr>
          <w:rFonts w:hint="eastAsia"/>
        </w:rPr>
        <w:t>报告</w:t>
      </w:r>
      <w:bookmarkEnd w:id="144"/>
      <w:bookmarkEnd w:id="145"/>
    </w:p>
    <w:p w14:paraId="75E9526A">
      <w:pPr>
        <w:pStyle w:val="56"/>
        <w:ind w:firstLine="420"/>
      </w:pPr>
      <w:r>
        <w:rPr>
          <w:rFonts w:hint="eastAsia"/>
        </w:rPr>
        <w:t>检测报告宜包括以下内容：</w:t>
      </w:r>
    </w:p>
    <w:p w14:paraId="130BAC1D">
      <w:pPr>
        <w:pStyle w:val="174"/>
        <w:numPr>
          <w:ilvl w:val="0"/>
          <w:numId w:val="68"/>
        </w:numPr>
      </w:pPr>
      <w:r>
        <w:rPr>
          <w:rFonts w:hint="eastAsia"/>
        </w:rPr>
        <w:t>检测日期；</w:t>
      </w:r>
    </w:p>
    <w:p w14:paraId="41D694E6">
      <w:pPr>
        <w:pStyle w:val="174"/>
      </w:pPr>
      <w:r>
        <w:rPr>
          <w:rFonts w:hint="eastAsia"/>
        </w:rPr>
        <w:t>检测人员；</w:t>
      </w:r>
    </w:p>
    <w:p w14:paraId="601B1684">
      <w:pPr>
        <w:pStyle w:val="174"/>
      </w:pPr>
      <w:r>
        <w:rPr>
          <w:rFonts w:hint="eastAsia"/>
        </w:rPr>
        <w:t>被测件信息及检测区域；</w:t>
      </w:r>
    </w:p>
    <w:p w14:paraId="0A3BB36D">
      <w:pPr>
        <w:pStyle w:val="174"/>
      </w:pPr>
      <w:r>
        <w:rPr>
          <w:rFonts w:hint="eastAsia"/>
        </w:rPr>
        <w:t>检测环境条件（温度、湿度）；</w:t>
      </w:r>
    </w:p>
    <w:p w14:paraId="2F5F1E89">
      <w:pPr>
        <w:pStyle w:val="174"/>
      </w:pPr>
      <w:r>
        <w:rPr>
          <w:rFonts w:hint="eastAsia"/>
        </w:rPr>
        <w:t>检测方式、仪器型号、耦合剂、传感器型号及固定方式；</w:t>
      </w:r>
    </w:p>
    <w:p w14:paraId="6F23419D">
      <w:pPr>
        <w:pStyle w:val="174"/>
      </w:pPr>
      <w:r>
        <w:rPr>
          <w:rFonts w:hint="eastAsia"/>
        </w:rPr>
        <w:t>传感器布置数量及示意图；</w:t>
      </w:r>
    </w:p>
    <w:p w14:paraId="369907B1">
      <w:pPr>
        <w:pStyle w:val="174"/>
      </w:pPr>
      <w:r>
        <w:rPr>
          <w:rFonts w:hint="eastAsia"/>
        </w:rPr>
        <w:t>检测工艺参数；</w:t>
      </w:r>
    </w:p>
    <w:p w14:paraId="27C8DB42">
      <w:pPr>
        <w:pStyle w:val="174"/>
      </w:pPr>
      <w:r>
        <w:rPr>
          <w:rFonts w:hint="eastAsia"/>
        </w:rPr>
        <w:t>检测评价；</w:t>
      </w:r>
    </w:p>
    <w:p w14:paraId="5F90312A">
      <w:pPr>
        <w:pStyle w:val="174"/>
      </w:pPr>
      <w:r>
        <w:rPr>
          <w:rFonts w:hint="eastAsia"/>
        </w:rPr>
        <w:t>其他（未在以上提及但影响检测结果的因素）。</w:t>
      </w:r>
    </w:p>
    <w:p w14:paraId="4B4568DC">
      <w:pPr>
        <w:pStyle w:val="56"/>
        <w:ind w:left="0" w:leftChars="0" w:firstLine="0" w:firstLineChars="0"/>
      </w:pPr>
    </w:p>
    <w:p w14:paraId="04E20511">
      <w:pPr>
        <w:pStyle w:val="56"/>
        <w:ind w:firstLine="420"/>
        <w:sectPr>
          <w:pgSz w:w="11906" w:h="16838"/>
          <w:pgMar w:top="1928" w:right="1134" w:bottom="1134" w:left="1134" w:header="1418" w:footer="1134" w:gutter="284"/>
          <w:cols w:space="425" w:num="1"/>
          <w:formProt w:val="0"/>
          <w:docGrid w:type="lines" w:linePitch="312" w:charSpace="0"/>
        </w:sectPr>
      </w:pPr>
    </w:p>
    <w:p w14:paraId="3A041E04">
      <w:pPr>
        <w:pStyle w:val="198"/>
        <w:ind w:left="0"/>
        <w:rPr>
          <w:rFonts w:hint="eastAsia"/>
        </w:rPr>
      </w:pPr>
    </w:p>
    <w:p w14:paraId="4B005FA9">
      <w:pPr>
        <w:pStyle w:val="199"/>
        <w:ind w:left="0"/>
      </w:pPr>
    </w:p>
    <w:p w14:paraId="6862B8EC">
      <w:pPr>
        <w:pStyle w:val="76"/>
        <w:spacing w:after="156"/>
      </w:pPr>
      <w:r>
        <w:br w:type="textWrapping"/>
      </w:r>
      <w:bookmarkStart w:id="146" w:name="_Toc129620128"/>
      <w:r>
        <w:rPr>
          <w:rFonts w:hint="eastAsia"/>
        </w:rPr>
        <w:t>（规范性）</w:t>
      </w:r>
      <w:r>
        <w:br w:type="textWrapping"/>
      </w:r>
      <w:r>
        <w:rPr>
          <w:rFonts w:hint="eastAsia"/>
        </w:rPr>
        <w:t>多物理场红外热成像检测</w:t>
      </w:r>
      <w:bookmarkEnd w:id="146"/>
    </w:p>
    <w:p w14:paraId="2E5D3078">
      <w:pPr>
        <w:pStyle w:val="78"/>
        <w:spacing w:before="156" w:after="156"/>
      </w:pPr>
      <w:bookmarkStart w:id="147" w:name="_Toc128401643"/>
      <w:r>
        <w:rPr>
          <w:rFonts w:hint="eastAsia"/>
        </w:rPr>
        <w:t>范围</w:t>
      </w:r>
      <w:bookmarkEnd w:id="147"/>
    </w:p>
    <w:p w14:paraId="5532C93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本附录规定了储氢气瓶的多物理场红外热成像无损检测方法。</w:t>
      </w:r>
    </w:p>
    <w:p w14:paraId="185E02D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本部分适用于在制和在用储氢气瓶红外热成像检测，包括但不限于不连续的检测（例如：空隙、裂纹、分层和夹渣等）。</w:t>
      </w:r>
    </w:p>
    <w:p w14:paraId="542FEA7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金属材料气瓶缺陷的红外热成像检测可参照执行。</w:t>
      </w:r>
    </w:p>
    <w:p w14:paraId="4D437DB3">
      <w:pPr>
        <w:pStyle w:val="78"/>
        <w:spacing w:before="156" w:after="156"/>
      </w:pPr>
      <w:bookmarkStart w:id="148" w:name="_Toc128401644"/>
      <w:r>
        <w:rPr>
          <w:rFonts w:hint="eastAsia"/>
        </w:rPr>
        <w:t>规范性引用文件</w:t>
      </w:r>
      <w:bookmarkEnd w:id="148"/>
    </w:p>
    <w:sdt>
      <w:sdtPr>
        <w:rPr>
          <w:rFonts w:hint="eastAsia" w:ascii="宋体" w:hAnsi="Times New Roman"/>
          <w:kern w:val="0"/>
          <w:szCs w:val="20"/>
        </w:rPr>
        <w:id w:val="-439067357"/>
        <w:placeholder>
          <w:docPart w:val="65B4BCA1256F4B8FAEE4AB2FC5456D4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ascii="宋体" w:hAnsi="Times New Roman"/>
          <w:kern w:val="0"/>
          <w:szCs w:val="20"/>
        </w:rPr>
      </w:sdtEndPr>
      <w:sdtContent>
        <w:p w14:paraId="313A100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BC25AB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12604.9</w:t>
      </w:r>
      <w:r>
        <w:rPr>
          <w:rFonts w:hint="eastAsia" w:ascii="宋体" w:hAnsi="Times New Roman"/>
          <w:kern w:val="0"/>
          <w:szCs w:val="20"/>
          <w:lang w:val="en-US" w:eastAsia="zh-CN"/>
        </w:rPr>
        <w:t>-2021</w:t>
      </w:r>
      <w:r>
        <w:rPr>
          <w:rFonts w:hint="eastAsia" w:ascii="宋体" w:hAnsi="Times New Roman"/>
          <w:kern w:val="0"/>
          <w:szCs w:val="20"/>
        </w:rPr>
        <w:t xml:space="preserve"> 无损检测 术语 红外检测</w:t>
      </w:r>
    </w:p>
    <w:p w14:paraId="1A1EA91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20737</w:t>
      </w:r>
      <w:r>
        <w:rPr>
          <w:rFonts w:hint="eastAsia" w:ascii="宋体" w:hAnsi="Times New Roman"/>
          <w:kern w:val="0"/>
          <w:szCs w:val="20"/>
          <w:lang w:val="en-US" w:eastAsia="zh-CN"/>
        </w:rPr>
        <w:t>-2006</w:t>
      </w:r>
      <w:r>
        <w:rPr>
          <w:rFonts w:hint="eastAsia" w:ascii="宋体" w:hAnsi="Times New Roman"/>
          <w:kern w:val="0"/>
          <w:szCs w:val="20"/>
        </w:rPr>
        <w:t xml:space="preserve"> 无损检测 通用术语和定义</w:t>
      </w:r>
    </w:p>
    <w:p w14:paraId="254ADC4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26643</w:t>
      </w:r>
      <w:r>
        <w:rPr>
          <w:rFonts w:hint="eastAsia" w:ascii="宋体" w:hAnsi="Times New Roman"/>
          <w:kern w:val="0"/>
          <w:szCs w:val="20"/>
          <w:lang w:val="en-US" w:eastAsia="zh-CN"/>
        </w:rPr>
        <w:t>-2011</w:t>
      </w:r>
      <w:r>
        <w:rPr>
          <w:rFonts w:hint="eastAsia" w:ascii="宋体" w:hAnsi="Times New Roman"/>
          <w:kern w:val="0"/>
          <w:szCs w:val="20"/>
        </w:rPr>
        <w:t xml:space="preserve"> 无损检测 闪光灯激励红外热像法 导则</w:t>
      </w:r>
    </w:p>
    <w:p w14:paraId="43F2989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31768.2</w:t>
      </w:r>
      <w:r>
        <w:rPr>
          <w:rFonts w:hint="eastAsia" w:ascii="宋体" w:hAnsi="Times New Roman"/>
          <w:kern w:val="0"/>
          <w:szCs w:val="20"/>
          <w:lang w:val="en-US" w:eastAsia="zh-CN"/>
        </w:rPr>
        <w:t>-2015</w:t>
      </w:r>
      <w:r>
        <w:rPr>
          <w:rFonts w:hint="eastAsia" w:ascii="宋体" w:hAnsi="Times New Roman"/>
          <w:kern w:val="0"/>
          <w:szCs w:val="20"/>
        </w:rPr>
        <w:t xml:space="preserve"> 无损检测 闪光灯激励红外热像法 第2部分：检测规范</w:t>
      </w:r>
    </w:p>
    <w:p w14:paraId="4CD3D2A9">
      <w:pPr>
        <w:pStyle w:val="78"/>
        <w:spacing w:before="156" w:after="156"/>
      </w:pPr>
      <w:bookmarkStart w:id="149" w:name="_Toc128401645"/>
      <w:r>
        <w:rPr>
          <w:rFonts w:hint="eastAsia"/>
        </w:rPr>
        <w:t>术语和定义</w:t>
      </w:r>
      <w:bookmarkEnd w:id="149"/>
    </w:p>
    <w:sdt>
      <w:sdtPr>
        <w:rPr>
          <w:rFonts w:ascii="宋体" w:hAnsi="Times New Roman"/>
          <w:kern w:val="0"/>
          <w:szCs w:val="20"/>
        </w:rPr>
        <w:id w:val="1342901831"/>
        <w:placeholder>
          <w:docPart w:val="17D7CA6E36BC479BB99ECFF292EE7AF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宋体" w:hAnsi="Times New Roman"/>
          <w:kern w:val="0"/>
          <w:szCs w:val="20"/>
        </w:rPr>
      </w:sdtEndPr>
      <w:sdtContent>
        <w:p w14:paraId="75456B0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12604.9、GB/T 20737、GB/T 26643和GB/T 31768.2</w:t>
          </w:r>
          <w:r>
            <w:rPr>
              <w:rFonts w:ascii="宋体" w:hAnsi="Times New Roman"/>
              <w:kern w:val="0"/>
              <w:szCs w:val="20"/>
            </w:rPr>
            <w:t>界定的以及下列术语和定义适用于本文件。</w:t>
          </w:r>
        </w:p>
      </w:sdtContent>
    </w:sdt>
    <w:p w14:paraId="03277F8E">
      <w:pPr>
        <w:pStyle w:val="79"/>
        <w:spacing w:before="156" w:after="156"/>
        <w:ind w:left="0"/>
      </w:pPr>
    </w:p>
    <w:p w14:paraId="1D550AE2">
      <w:pPr>
        <w:pStyle w:val="56"/>
        <w:ind w:firstLine="420"/>
        <w:rPr>
          <w:rFonts w:hint="eastAsia" w:ascii="黑体" w:hAnsi="黑体" w:eastAsia="黑体"/>
        </w:rPr>
      </w:pPr>
      <w:r>
        <w:rPr>
          <w:rFonts w:hint="eastAsia" w:ascii="黑体" w:hAnsi="黑体" w:eastAsia="黑体"/>
        </w:rPr>
        <w:t>多物理场红外热成像检测 multi-physical</w:t>
      </w:r>
      <w:r>
        <w:rPr>
          <w:rFonts w:ascii="黑体" w:hAnsi="黑体" w:eastAsia="黑体"/>
        </w:rPr>
        <w:t xml:space="preserve"> </w:t>
      </w:r>
      <w:r>
        <w:rPr>
          <w:rFonts w:hint="eastAsia" w:ascii="黑体" w:hAnsi="黑体" w:eastAsia="黑体"/>
        </w:rPr>
        <w:t>field</w:t>
      </w:r>
      <w:r>
        <w:rPr>
          <w:rFonts w:ascii="黑体" w:hAnsi="黑体" w:eastAsia="黑体"/>
        </w:rPr>
        <w:t xml:space="preserve"> </w:t>
      </w:r>
      <w:r>
        <w:rPr>
          <w:rFonts w:hint="eastAsia" w:ascii="黑体" w:hAnsi="黑体" w:eastAsia="黑体"/>
        </w:rPr>
        <w:t>infrared</w:t>
      </w:r>
      <w:r>
        <w:rPr>
          <w:rFonts w:ascii="黑体" w:hAnsi="黑体" w:eastAsia="黑体"/>
        </w:rPr>
        <w:t xml:space="preserve"> </w:t>
      </w:r>
      <w:r>
        <w:rPr>
          <w:rFonts w:hint="eastAsia" w:ascii="黑体" w:hAnsi="黑体" w:eastAsia="黑体"/>
        </w:rPr>
        <w:t>thermal</w:t>
      </w:r>
      <w:r>
        <w:rPr>
          <w:rFonts w:ascii="黑体" w:hAnsi="黑体" w:eastAsia="黑体"/>
        </w:rPr>
        <w:t xml:space="preserve"> </w:t>
      </w:r>
      <w:r>
        <w:rPr>
          <w:rFonts w:hint="eastAsia" w:ascii="黑体" w:hAnsi="黑体" w:eastAsia="黑体"/>
        </w:rPr>
        <w:t>imaging</w:t>
      </w:r>
      <w:r>
        <w:rPr>
          <w:rFonts w:ascii="黑体" w:hAnsi="黑体" w:eastAsia="黑体"/>
        </w:rPr>
        <w:t xml:space="preserve"> </w:t>
      </w:r>
      <w:r>
        <w:rPr>
          <w:rFonts w:hint="eastAsia" w:ascii="黑体" w:hAnsi="黑体" w:eastAsia="黑体"/>
        </w:rPr>
        <w:t>detection</w:t>
      </w:r>
    </w:p>
    <w:p w14:paraId="628F3E9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由外加物理场提供额外热激励的红外热成像检测。</w:t>
      </w:r>
    </w:p>
    <w:p w14:paraId="2C612A6E">
      <w:pPr>
        <w:pStyle w:val="79"/>
        <w:spacing w:before="156" w:after="156"/>
        <w:ind w:left="0"/>
      </w:pPr>
    </w:p>
    <w:p w14:paraId="26A5964E">
      <w:pPr>
        <w:pStyle w:val="56"/>
        <w:ind w:firstLine="420"/>
      </w:pPr>
      <w:r>
        <w:rPr>
          <w:rFonts w:hint="eastAsia" w:ascii="黑体" w:hAnsi="黑体" w:eastAsia="黑体"/>
        </w:rPr>
        <w:t>局部激励 local</w:t>
      </w:r>
      <w:r>
        <w:rPr>
          <w:rFonts w:ascii="黑体" w:hAnsi="黑体" w:eastAsia="黑体"/>
        </w:rPr>
        <w:t xml:space="preserve"> excitation</w:t>
      </w:r>
    </w:p>
    <w:p w14:paraId="3983E7B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在材料内部产生三维热扩散的局部能量激励。</w:t>
      </w:r>
    </w:p>
    <w:p w14:paraId="145DD005">
      <w:pPr>
        <w:pStyle w:val="79"/>
        <w:spacing w:before="156" w:after="156"/>
        <w:ind w:left="0"/>
      </w:pPr>
    </w:p>
    <w:p w14:paraId="6E02168C">
      <w:pPr>
        <w:pStyle w:val="56"/>
        <w:ind w:firstLine="420"/>
      </w:pPr>
      <w:r>
        <w:rPr>
          <w:rFonts w:hint="eastAsia" w:ascii="黑体" w:hAnsi="黑体" w:eastAsia="黑体"/>
        </w:rPr>
        <w:t>热平衡 heat</w:t>
      </w:r>
      <w:r>
        <w:rPr>
          <w:rFonts w:ascii="黑体" w:hAnsi="黑体" w:eastAsia="黑体"/>
        </w:rPr>
        <w:t xml:space="preserve"> </w:t>
      </w:r>
      <w:r>
        <w:rPr>
          <w:rFonts w:hint="eastAsia" w:ascii="黑体" w:hAnsi="黑体" w:eastAsia="黑体"/>
        </w:rPr>
        <w:t>balance</w:t>
      </w:r>
    </w:p>
    <w:p w14:paraId="6127E4A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物体在同一时间内吸收和放出的热量恰好相等，物体各部分以及物体同外界之间也不发生热量交换。</w:t>
      </w:r>
    </w:p>
    <w:p w14:paraId="527CCFBC">
      <w:pPr>
        <w:pStyle w:val="78"/>
        <w:spacing w:before="156" w:after="156"/>
      </w:pPr>
      <w:bookmarkStart w:id="150" w:name="_Toc128401646"/>
      <w:r>
        <w:rPr>
          <w:rFonts w:hint="eastAsia"/>
        </w:rPr>
        <w:t>方法概要</w:t>
      </w:r>
      <w:bookmarkEnd w:id="150"/>
    </w:p>
    <w:p w14:paraId="193A480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多物理场红外热成像检测需要根据被测件的材质、结构和缺陷类型等来选择不同的热激励，通过热源施加热流激励后，被测件中的不连续会对热传导造成影响，异常（不连续）区域与正常区域对应的表面温度场产生差异，这种温度差异同时导致被测件表面热辐射强度分布发生变化，利用红外热像仪记录这一热辐射强度变化过程，可获取物体表面及内部结构信息等，具体过程见</w:t>
      </w:r>
      <w:r>
        <w:rPr>
          <w:rFonts w:hint="eastAsia" w:ascii="宋体" w:hAnsi="Times New Roman"/>
          <w:kern w:val="0"/>
          <w:szCs w:val="20"/>
          <w:highlight w:val="yellow"/>
        </w:rPr>
        <w:t>图D.1</w:t>
      </w:r>
      <w:r>
        <w:rPr>
          <w:rFonts w:hint="eastAsia" w:ascii="宋体" w:hAnsi="Times New Roman"/>
          <w:kern w:val="0"/>
          <w:szCs w:val="20"/>
        </w:rPr>
        <w:t>。</w:t>
      </w:r>
    </w:p>
    <w:p w14:paraId="6BEACBA6">
      <w:pPr>
        <w:widowControl/>
        <w:autoSpaceDE w:val="0"/>
        <w:autoSpaceDN w:val="0"/>
        <w:adjustRightInd/>
        <w:spacing w:line="240" w:lineRule="auto"/>
        <w:jc w:val="center"/>
        <w:rPr>
          <w:rFonts w:ascii="宋体" w:hAnsi="Times New Roman"/>
          <w:kern w:val="0"/>
          <w:szCs w:val="20"/>
        </w:rPr>
      </w:pPr>
      <w:r>
        <w:rPr>
          <w:rFonts w:ascii="宋体" w:hAnsi="Times New Roman"/>
          <w:kern w:val="0"/>
          <w:szCs w:val="20"/>
        </w:rPr>
        <w:drawing>
          <wp:inline distT="0" distB="0" distL="0" distR="0">
            <wp:extent cx="4103370" cy="14605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111877" cy="1463378"/>
                    </a:xfrm>
                    <a:prstGeom prst="rect">
                      <a:avLst/>
                    </a:prstGeom>
                    <a:noFill/>
                    <a:ln>
                      <a:noFill/>
                    </a:ln>
                  </pic:spPr>
                </pic:pic>
              </a:graphicData>
            </a:graphic>
          </wp:inline>
        </w:drawing>
      </w:r>
    </w:p>
    <w:p w14:paraId="29939099">
      <w:pPr>
        <w:pStyle w:val="83"/>
        <w:spacing w:before="156" w:after="156"/>
      </w:pPr>
      <w:r>
        <w:rPr>
          <w:rFonts w:hint="eastAsia"/>
        </w:rPr>
        <w:t>多物理场红外热成像检测</w:t>
      </w:r>
    </w:p>
    <w:p w14:paraId="1D1F09A3">
      <w:pPr>
        <w:pStyle w:val="78"/>
        <w:spacing w:before="156" w:after="156"/>
      </w:pPr>
      <w:bookmarkStart w:id="151" w:name="_Toc128401647"/>
      <w:r>
        <w:rPr>
          <w:rFonts w:hint="eastAsia"/>
        </w:rPr>
        <w:t>热激励形式</w:t>
      </w:r>
      <w:bookmarkEnd w:id="151"/>
    </w:p>
    <w:p w14:paraId="4AC173B4">
      <w:pPr>
        <w:pStyle w:val="212"/>
        <w:ind w:left="0"/>
      </w:pPr>
      <w:r>
        <w:rPr>
          <w:rFonts w:hint="eastAsia"/>
        </w:rPr>
        <w:t>对于主动式红外热成像检测，选择的热激励不应损坏被测件。</w:t>
      </w:r>
    </w:p>
    <w:p w14:paraId="7A8090C9">
      <w:pPr>
        <w:pStyle w:val="212"/>
        <w:ind w:left="0"/>
      </w:pPr>
      <w:r>
        <w:rPr>
          <w:rFonts w:hint="eastAsia"/>
        </w:rPr>
        <w:t>热激励按注入能量在时域上表现形式的不同，主要可分为</w:t>
      </w:r>
      <w:r>
        <w:rPr>
          <w:rFonts w:hint="eastAsia"/>
          <w:color w:val="FF0000"/>
        </w:rPr>
        <w:t>脉冲激励、周期激励和编码激励</w:t>
      </w:r>
      <w:r>
        <w:rPr>
          <w:rFonts w:hint="eastAsia"/>
        </w:rPr>
        <w:t>等三种形式。脉冲激励注入能量时域波形为单个方波，如</w:t>
      </w:r>
      <w:r>
        <w:rPr>
          <w:rFonts w:hint="eastAsia"/>
          <w:highlight w:val="yellow"/>
        </w:rPr>
        <w:t>图D.２</w:t>
      </w:r>
      <w:r>
        <w:rPr>
          <w:rFonts w:hint="eastAsia"/>
        </w:rPr>
        <w:t>所示，具有探测面积大、检测时间短的优点，特别适合于储氢气瓶浅表层缺陷损伤检测与表征。周期激励注入能量时域波形为周期性变化形式，如正弦波和连续方波等，正弦波激励波形如</w:t>
      </w:r>
      <w:r>
        <w:rPr>
          <w:rFonts w:hint="eastAsia"/>
          <w:highlight w:val="yellow"/>
        </w:rPr>
        <w:t>图D.3</w:t>
      </w:r>
      <w:r>
        <w:rPr>
          <w:rFonts w:hint="eastAsia"/>
        </w:rPr>
        <w:t>所示，具有信噪比和探测灵敏度高的优点，适合于储氢气瓶内部分层缺陷检测与表征。编码激励注入能量时域波形为频率调制和相位调制波形，线性调频激励波形如</w:t>
      </w:r>
      <w:r>
        <w:rPr>
          <w:rFonts w:hint="eastAsia"/>
          <w:highlight w:val="yellow"/>
        </w:rPr>
        <w:t>图D.4</w:t>
      </w:r>
      <w:r>
        <w:rPr>
          <w:rFonts w:hint="eastAsia"/>
        </w:rPr>
        <w:t>所示，具有高信噪比、高灵敏度、大探测深度的优点，特别适合于储氢气瓶内部分层缺陷的单次可靠检测与表征。</w:t>
      </w:r>
    </w:p>
    <w:p w14:paraId="313F6B67">
      <w:pPr>
        <w:widowControl/>
        <w:adjustRightInd/>
        <w:spacing w:line="240" w:lineRule="auto"/>
        <w:jc w:val="center"/>
        <w:rPr>
          <w:rFonts w:ascii="宋体" w:hAnsi="Times New Roman"/>
          <w:kern w:val="0"/>
          <w:szCs w:val="20"/>
        </w:rPr>
      </w:pPr>
      <w:r>
        <w:rPr>
          <w:rFonts w:ascii="宋体" w:hAnsi="Times New Roman"/>
          <w:kern w:val="0"/>
          <w:szCs w:val="20"/>
        </w:rPr>
        <w:drawing>
          <wp:inline distT="0" distB="0" distL="0" distR="0">
            <wp:extent cx="1866900" cy="12592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883980" cy="1270852"/>
                    </a:xfrm>
                    <a:prstGeom prst="rect">
                      <a:avLst/>
                    </a:prstGeom>
                    <a:noFill/>
                    <a:ln>
                      <a:noFill/>
                    </a:ln>
                  </pic:spPr>
                </pic:pic>
              </a:graphicData>
            </a:graphic>
          </wp:inline>
        </w:drawing>
      </w:r>
    </w:p>
    <w:p w14:paraId="690815F9">
      <w:pPr>
        <w:pStyle w:val="83"/>
        <w:spacing w:before="156" w:after="156"/>
      </w:pPr>
      <w:r>
        <w:rPr>
          <w:rFonts w:hint="eastAsia"/>
        </w:rPr>
        <w:t>脉冲激励注入能量波形</w:t>
      </w:r>
    </w:p>
    <w:p w14:paraId="763FDD33">
      <w:pPr>
        <w:widowControl/>
        <w:autoSpaceDE w:val="0"/>
        <w:autoSpaceDN w:val="0"/>
        <w:adjustRightInd/>
        <w:spacing w:line="240" w:lineRule="auto"/>
        <w:ind w:firstLine="420" w:firstLineChars="200"/>
        <w:jc w:val="center"/>
        <w:rPr>
          <w:rFonts w:ascii="宋体" w:hAnsi="Times New Roman"/>
          <w:kern w:val="0"/>
          <w:szCs w:val="20"/>
        </w:rPr>
      </w:pPr>
      <w:r>
        <w:rPr>
          <w:rFonts w:ascii="宋体" w:hAnsi="Times New Roman"/>
          <w:kern w:val="0"/>
          <w:szCs w:val="20"/>
        </w:rPr>
        <w:drawing>
          <wp:inline distT="0" distB="0" distL="0" distR="0">
            <wp:extent cx="1910080" cy="12719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24310" cy="1281658"/>
                    </a:xfrm>
                    <a:prstGeom prst="rect">
                      <a:avLst/>
                    </a:prstGeom>
                    <a:noFill/>
                    <a:ln>
                      <a:noFill/>
                    </a:ln>
                  </pic:spPr>
                </pic:pic>
              </a:graphicData>
            </a:graphic>
          </wp:inline>
        </w:drawing>
      </w:r>
    </w:p>
    <w:p w14:paraId="0B15F560">
      <w:pPr>
        <w:pStyle w:val="83"/>
        <w:spacing w:before="156" w:after="156"/>
      </w:pPr>
      <w:r>
        <w:rPr>
          <w:rFonts w:hint="eastAsia"/>
        </w:rPr>
        <w:t>正弦波激励注入能量波形</w:t>
      </w:r>
    </w:p>
    <w:p w14:paraId="6473237D">
      <w:pPr>
        <w:widowControl/>
        <w:autoSpaceDE w:val="0"/>
        <w:autoSpaceDN w:val="0"/>
        <w:adjustRightInd/>
        <w:spacing w:line="240" w:lineRule="auto"/>
        <w:ind w:firstLine="420" w:firstLineChars="200"/>
        <w:rPr>
          <w:rFonts w:ascii="宋体" w:hAnsi="Times New Roman"/>
          <w:kern w:val="0"/>
          <w:szCs w:val="20"/>
        </w:rPr>
      </w:pPr>
    </w:p>
    <w:p w14:paraId="3025546B">
      <w:pPr>
        <w:widowControl/>
        <w:autoSpaceDE w:val="0"/>
        <w:autoSpaceDN w:val="0"/>
        <w:adjustRightInd/>
        <w:spacing w:line="240" w:lineRule="auto"/>
        <w:ind w:firstLine="420" w:firstLineChars="200"/>
        <w:jc w:val="center"/>
        <w:rPr>
          <w:rFonts w:ascii="宋体" w:hAnsi="Times New Roman"/>
          <w:kern w:val="0"/>
          <w:szCs w:val="20"/>
        </w:rPr>
      </w:pPr>
      <w:r>
        <w:rPr>
          <w:rFonts w:ascii="宋体" w:hAnsi="Times New Roman"/>
          <w:kern w:val="0"/>
          <w:szCs w:val="20"/>
        </w:rPr>
        <w:drawing>
          <wp:inline distT="0" distB="0" distL="0" distR="0">
            <wp:extent cx="1823085" cy="1489710"/>
            <wp:effectExtent l="0" t="0" r="571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32270" cy="1497263"/>
                    </a:xfrm>
                    <a:prstGeom prst="rect">
                      <a:avLst/>
                    </a:prstGeom>
                    <a:noFill/>
                    <a:ln>
                      <a:noFill/>
                    </a:ln>
                  </pic:spPr>
                </pic:pic>
              </a:graphicData>
            </a:graphic>
          </wp:inline>
        </w:drawing>
      </w:r>
    </w:p>
    <w:p w14:paraId="232456D4">
      <w:pPr>
        <w:pStyle w:val="83"/>
        <w:spacing w:before="156" w:after="156"/>
      </w:pPr>
      <w:r>
        <w:rPr>
          <w:rFonts w:hint="eastAsia"/>
        </w:rPr>
        <w:t>编码激励（线性调频激励）注入能量波形</w:t>
      </w:r>
    </w:p>
    <w:p w14:paraId="4423C135">
      <w:pPr>
        <w:pStyle w:val="212"/>
        <w:ind w:left="0"/>
      </w:pPr>
      <w:r>
        <w:rPr>
          <w:rFonts w:hint="eastAsia"/>
        </w:rPr>
        <w:t>热激励根据注入能量类型和空间分布的不同，通常选用卤素灯等。</w:t>
      </w:r>
    </w:p>
    <w:p w14:paraId="6AF1022B">
      <w:pPr>
        <w:pStyle w:val="78"/>
        <w:spacing w:before="156" w:after="156"/>
      </w:pPr>
      <w:bookmarkStart w:id="152" w:name="_Toc128401648"/>
      <w:r>
        <w:rPr>
          <w:rFonts w:hint="eastAsia"/>
        </w:rPr>
        <w:t>一般要求</w:t>
      </w:r>
      <w:bookmarkEnd w:id="152"/>
    </w:p>
    <w:p w14:paraId="3AED090F">
      <w:pPr>
        <w:pStyle w:val="79"/>
        <w:spacing w:before="156" w:after="156"/>
        <w:ind w:left="0"/>
      </w:pPr>
      <w:bookmarkStart w:id="153" w:name="_Toc128401649"/>
      <w:r>
        <w:rPr>
          <w:rFonts w:hint="eastAsia"/>
        </w:rPr>
        <w:t>人员资格</w:t>
      </w:r>
      <w:bookmarkEnd w:id="153"/>
    </w:p>
    <w:p w14:paraId="32814B6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按本附录实施检测的人员，</w:t>
      </w:r>
      <w:bookmarkStart w:id="154" w:name="OLE_LINK8"/>
      <w:r>
        <w:rPr>
          <w:rFonts w:hint="eastAsia" w:ascii="宋体" w:hAnsi="Times New Roman"/>
          <w:kern w:val="0"/>
          <w:szCs w:val="20"/>
        </w:rPr>
        <w:t>应按</w:t>
      </w:r>
      <w:r>
        <w:rPr>
          <w:rFonts w:hint="eastAsia" w:ascii="宋体" w:hAnsi="Times New Roman"/>
          <w:kern w:val="0"/>
          <w:szCs w:val="20"/>
          <w:highlight w:val="yellow"/>
        </w:rPr>
        <w:t>GB/T 9445</w:t>
      </w:r>
      <w:r>
        <w:rPr>
          <w:rFonts w:hint="eastAsia" w:ascii="宋体" w:hAnsi="Times New Roman"/>
          <w:kern w:val="0"/>
          <w:szCs w:val="20"/>
        </w:rPr>
        <w:t>或合同各方同意的体系进行资格鉴定与认证，取得红外检测人员资格证书，并由雇主或其代理对其进行岗位培训和操作授权。</w:t>
      </w:r>
      <w:bookmarkEnd w:id="154"/>
    </w:p>
    <w:p w14:paraId="2536AF26">
      <w:pPr>
        <w:pStyle w:val="79"/>
        <w:spacing w:before="156" w:after="156"/>
        <w:ind w:left="0"/>
      </w:pPr>
      <w:bookmarkStart w:id="155" w:name="_Toc128401650"/>
      <w:r>
        <w:rPr>
          <w:rFonts w:hint="eastAsia"/>
        </w:rPr>
        <w:t>设备要求</w:t>
      </w:r>
      <w:bookmarkEnd w:id="155"/>
    </w:p>
    <w:p w14:paraId="3DE9FA87">
      <w:pPr>
        <w:pStyle w:val="213"/>
        <w:ind w:left="0"/>
      </w:pPr>
      <w:r>
        <w:rPr>
          <w:rFonts w:hint="eastAsia"/>
        </w:rPr>
        <w:t>红外热像仪单元</w:t>
      </w:r>
    </w:p>
    <w:p w14:paraId="543CEFF3">
      <w:pPr>
        <w:pStyle w:val="214"/>
        <w:ind w:left="0"/>
      </w:pPr>
      <w:r>
        <w:rPr>
          <w:rFonts w:hint="eastAsia"/>
        </w:rPr>
        <w:t>红外热像仪单元一般由红外热像仪、红外热像仪镜头和光学辅助设备组成。</w:t>
      </w:r>
    </w:p>
    <w:p w14:paraId="40CE0E20">
      <w:pPr>
        <w:pStyle w:val="214"/>
        <w:ind w:left="0"/>
      </w:pPr>
      <w:r>
        <w:rPr>
          <w:rFonts w:hint="eastAsia"/>
        </w:rPr>
        <w:t>红外热像仪通常选用非制冷型的长波红外热像仪（波长范围为8-14μm）。</w:t>
      </w:r>
    </w:p>
    <w:p w14:paraId="3C00BB17">
      <w:pPr>
        <w:pStyle w:val="214"/>
        <w:ind w:left="0"/>
      </w:pPr>
      <w:r>
        <w:rPr>
          <w:rFonts w:hint="eastAsia"/>
        </w:rPr>
        <w:t>探测器分辨率通常不低于640×480，探测器间距不低于15μm。</w:t>
      </w:r>
    </w:p>
    <w:p w14:paraId="0316368E">
      <w:pPr>
        <w:pStyle w:val="214"/>
        <w:ind w:left="0"/>
      </w:pPr>
      <w:r>
        <w:rPr>
          <w:rFonts w:hint="eastAsia"/>
        </w:rPr>
        <w:t>噪声等效温差/热灵敏度通常不低于30mK。</w:t>
      </w:r>
    </w:p>
    <w:p w14:paraId="063786DC">
      <w:pPr>
        <w:pStyle w:val="214"/>
        <w:ind w:left="0"/>
      </w:pPr>
      <w:r>
        <w:rPr>
          <w:rFonts w:hint="eastAsia"/>
        </w:rPr>
        <w:t>帧频通常不低于50Hz；时间常数不低于8ms。</w:t>
      </w:r>
    </w:p>
    <w:p w14:paraId="1B3D4BEA">
      <w:pPr>
        <w:pStyle w:val="214"/>
        <w:ind w:left="0"/>
      </w:pPr>
      <w:r>
        <w:rPr>
          <w:rFonts w:hint="eastAsia"/>
        </w:rPr>
        <w:t>测温范围通常为-40 ℃至150 ℃。</w:t>
      </w:r>
    </w:p>
    <w:p w14:paraId="19961E00">
      <w:pPr>
        <w:pStyle w:val="214"/>
        <w:ind w:left="0"/>
      </w:pPr>
      <w:r>
        <w:rPr>
          <w:rFonts w:hint="eastAsia"/>
        </w:rPr>
        <w:t>红外热像仪镜头一般选用显微镜头，微距不超过50μm；视场角为19°对角线。</w:t>
      </w:r>
    </w:p>
    <w:p w14:paraId="2F09B3F7">
      <w:pPr>
        <w:pStyle w:val="214"/>
        <w:ind w:left="0"/>
      </w:pPr>
      <w:r>
        <w:rPr>
          <w:rFonts w:hint="eastAsia"/>
        </w:rPr>
        <w:t>光学辅助设备一般包括：红外（反射）镜、滤波片、衰减片和三脚架等。必要时，采用光学辅助设备进行检测。例如，利用红外（反射）镜对热像仪视场不可达的地方进行检测。</w:t>
      </w:r>
    </w:p>
    <w:p w14:paraId="10F43E66">
      <w:pPr>
        <w:pStyle w:val="214"/>
        <w:ind w:left="0"/>
      </w:pPr>
      <w:r>
        <w:rPr>
          <w:rFonts w:hint="eastAsia"/>
        </w:rPr>
        <w:t>被测件的温度变化范围在室温区间（一般为16℃～30℃）的检测。</w:t>
      </w:r>
    </w:p>
    <w:p w14:paraId="2EFF0B90">
      <w:pPr>
        <w:pStyle w:val="214"/>
        <w:ind w:left="0"/>
      </w:pPr>
      <w:r>
        <w:rPr>
          <w:rFonts w:hint="eastAsia"/>
        </w:rPr>
        <w:t>红外热像仪在检测期间对储氢气瓶表面的热强变化进行连续采集，并实时输出采集信号。</w:t>
      </w:r>
    </w:p>
    <w:p w14:paraId="0865DA9F">
      <w:pPr>
        <w:pStyle w:val="214"/>
        <w:ind w:left="0"/>
      </w:pPr>
      <w:r>
        <w:rPr>
          <w:rFonts w:hint="eastAsia"/>
        </w:rPr>
        <w:t>红外热像仪、红外热像仪镜头和光学辅助应定期进行维护和清洁。</w:t>
      </w:r>
    </w:p>
    <w:p w14:paraId="2249D147">
      <w:pPr>
        <w:pStyle w:val="213"/>
        <w:ind w:left="0"/>
      </w:pPr>
      <w:r>
        <w:rPr>
          <w:rFonts w:hint="eastAsia"/>
        </w:rPr>
        <w:t>热激励单元</w:t>
      </w:r>
    </w:p>
    <w:p w14:paraId="04EE5804">
      <w:pPr>
        <w:pStyle w:val="214"/>
        <w:ind w:left="0"/>
      </w:pPr>
      <w:r>
        <w:rPr>
          <w:rFonts w:hint="eastAsia"/>
        </w:rPr>
        <w:t>热激励单元用于对被测件施加热流激励的外部能量激励源。</w:t>
      </w:r>
    </w:p>
    <w:p w14:paraId="46B34AA9">
      <w:pPr>
        <w:pStyle w:val="214"/>
        <w:ind w:left="0"/>
      </w:pPr>
      <w:r>
        <w:rPr>
          <w:rFonts w:hint="eastAsia"/>
        </w:rPr>
        <w:t>考虑到尽可能探测到储氢气瓶内部深层缺陷，应选择卤素灯，且功率输出通常不低于1000W。</w:t>
      </w:r>
    </w:p>
    <w:p w14:paraId="6744163D">
      <w:pPr>
        <w:pStyle w:val="214"/>
        <w:ind w:left="0"/>
        <w:rPr>
          <w:kern w:val="0"/>
        </w:rPr>
      </w:pPr>
      <w:r>
        <w:rPr>
          <w:rFonts w:hint="eastAsia"/>
          <w:kern w:val="0"/>
        </w:rPr>
        <w:t>考虑到储氢气瓶内部缺陷检测的复杂性，通常同时使用两个卤素灯，并尽可能均匀对称分布，可在显著增加能量输入的同时，降低加热不均匀等效应影响。</w:t>
      </w:r>
    </w:p>
    <w:p w14:paraId="3A16066A">
      <w:pPr>
        <w:pStyle w:val="214"/>
        <w:ind w:left="0"/>
      </w:pPr>
      <w:r>
        <w:rPr>
          <w:rFonts w:hint="eastAsia"/>
        </w:rPr>
        <w:t>常见的热源类型及其对应的热源波形和在储氢气瓶内部缺陷检测方面的典型应用见下</w:t>
      </w:r>
      <w:r>
        <w:rPr>
          <w:rFonts w:hint="eastAsia"/>
          <w:highlight w:val="yellow"/>
        </w:rPr>
        <w:t>表D.1</w:t>
      </w:r>
      <w:r>
        <w:rPr>
          <w:rFonts w:hint="eastAsia"/>
        </w:rPr>
        <w:t>。</w:t>
      </w:r>
    </w:p>
    <w:p w14:paraId="074226D5">
      <w:pPr>
        <w:pStyle w:val="214"/>
        <w:numPr>
          <w:ilvl w:val="4"/>
          <w:numId w:val="0"/>
        </w:numPr>
        <w:ind w:leftChars="0"/>
      </w:pPr>
    </w:p>
    <w:p w14:paraId="7A00EBB1">
      <w:pPr>
        <w:pStyle w:val="77"/>
        <w:spacing w:before="156" w:after="156"/>
      </w:pPr>
      <w:r>
        <w:rPr>
          <w:rFonts w:hint="eastAsia"/>
        </w:rPr>
        <w:t>常见的热源类型和对应的热源波形和储氢气瓶缺陷检测典型应用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44"/>
        <w:gridCol w:w="1700"/>
        <w:gridCol w:w="3757"/>
        <w:gridCol w:w="2333"/>
      </w:tblGrid>
      <w:tr w14:paraId="74FCF9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44" w:type="dxa"/>
            <w:tcBorders>
              <w:top w:val="single" w:color="auto" w:sz="8" w:space="0"/>
              <w:bottom w:val="single" w:color="auto" w:sz="8" w:space="0"/>
            </w:tcBorders>
            <w:shd w:val="clear" w:color="auto" w:fill="auto"/>
            <w:vAlign w:val="center"/>
          </w:tcPr>
          <w:p w14:paraId="105EE7AE">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序号</w:t>
            </w:r>
          </w:p>
        </w:tc>
        <w:tc>
          <w:tcPr>
            <w:tcW w:w="1700" w:type="dxa"/>
            <w:tcBorders>
              <w:top w:val="single" w:color="auto" w:sz="8" w:space="0"/>
              <w:bottom w:val="single" w:color="auto" w:sz="8" w:space="0"/>
            </w:tcBorders>
            <w:shd w:val="clear" w:color="auto" w:fill="auto"/>
            <w:vAlign w:val="center"/>
          </w:tcPr>
          <w:p w14:paraId="23EAB3C9">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热源类型</w:t>
            </w:r>
          </w:p>
        </w:tc>
        <w:tc>
          <w:tcPr>
            <w:tcW w:w="3757" w:type="dxa"/>
            <w:tcBorders>
              <w:top w:val="single" w:color="auto" w:sz="8" w:space="0"/>
              <w:bottom w:val="single" w:color="auto" w:sz="8" w:space="0"/>
            </w:tcBorders>
            <w:shd w:val="clear" w:color="auto" w:fill="auto"/>
            <w:vAlign w:val="center"/>
          </w:tcPr>
          <w:p w14:paraId="7DFFFAFC">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适用的热源波形</w:t>
            </w:r>
          </w:p>
        </w:tc>
        <w:tc>
          <w:tcPr>
            <w:tcW w:w="2333" w:type="dxa"/>
            <w:tcBorders>
              <w:top w:val="single" w:color="auto" w:sz="8" w:space="0"/>
              <w:bottom w:val="single" w:color="auto" w:sz="8" w:space="0"/>
            </w:tcBorders>
            <w:shd w:val="clear" w:color="auto" w:fill="auto"/>
            <w:vAlign w:val="center"/>
          </w:tcPr>
          <w:p w14:paraId="604C9500">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典型应用</w:t>
            </w:r>
          </w:p>
        </w:tc>
      </w:tr>
      <w:tr w14:paraId="135069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tcBorders>
              <w:top w:val="single" w:color="auto" w:sz="8" w:space="0"/>
            </w:tcBorders>
            <w:shd w:val="clear" w:color="auto" w:fill="auto"/>
            <w:vAlign w:val="center"/>
          </w:tcPr>
          <w:p w14:paraId="28079D97">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1</w:t>
            </w:r>
          </w:p>
        </w:tc>
        <w:tc>
          <w:tcPr>
            <w:tcW w:w="1700" w:type="dxa"/>
            <w:tcBorders>
              <w:top w:val="single" w:color="auto" w:sz="8" w:space="0"/>
            </w:tcBorders>
            <w:shd w:val="clear" w:color="auto" w:fill="auto"/>
            <w:vAlign w:val="center"/>
          </w:tcPr>
          <w:p w14:paraId="47357037">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卤素灯</w:t>
            </w:r>
          </w:p>
        </w:tc>
        <w:tc>
          <w:tcPr>
            <w:tcW w:w="3757" w:type="dxa"/>
            <w:tcBorders>
              <w:top w:val="single" w:color="auto" w:sz="8" w:space="0"/>
            </w:tcBorders>
            <w:shd w:val="clear" w:color="auto" w:fill="auto"/>
            <w:vAlign w:val="center"/>
          </w:tcPr>
          <w:p w14:paraId="681EB6F5">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周期激励（周期频率一般在0.001Hz至2Hz之间）、阶跃激励（激励时间一般大于或等于1s ）</w:t>
            </w:r>
          </w:p>
        </w:tc>
        <w:tc>
          <w:tcPr>
            <w:tcW w:w="2333" w:type="dxa"/>
            <w:tcBorders>
              <w:top w:val="single" w:color="auto" w:sz="8" w:space="0"/>
            </w:tcBorders>
            <w:shd w:val="clear" w:color="auto" w:fill="auto"/>
            <w:vAlign w:val="center"/>
          </w:tcPr>
          <w:p w14:paraId="7D5DD20E">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可用于检测储氢气瓶分层或内部不均匀性</w:t>
            </w:r>
          </w:p>
        </w:tc>
      </w:tr>
      <w:tr w14:paraId="765963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shd w:val="clear" w:color="auto" w:fill="auto"/>
            <w:vAlign w:val="center"/>
          </w:tcPr>
          <w:p w14:paraId="0EE6B515">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2</w:t>
            </w:r>
          </w:p>
        </w:tc>
        <w:tc>
          <w:tcPr>
            <w:tcW w:w="1700" w:type="dxa"/>
            <w:shd w:val="clear" w:color="auto" w:fill="auto"/>
            <w:vAlign w:val="center"/>
          </w:tcPr>
          <w:p w14:paraId="43BDA51F">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闪光灯</w:t>
            </w:r>
          </w:p>
        </w:tc>
        <w:tc>
          <w:tcPr>
            <w:tcW w:w="3757" w:type="dxa"/>
            <w:shd w:val="clear" w:color="auto" w:fill="auto"/>
            <w:vAlign w:val="center"/>
          </w:tcPr>
          <w:p w14:paraId="5D745C78">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脉冲激励（激励时间一般在0.1ms至10ms间）</w:t>
            </w:r>
          </w:p>
        </w:tc>
        <w:tc>
          <w:tcPr>
            <w:tcW w:w="2333" w:type="dxa"/>
            <w:shd w:val="clear" w:color="auto" w:fill="auto"/>
            <w:vAlign w:val="center"/>
          </w:tcPr>
          <w:p w14:paraId="540C4900">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可用于检测储氢气瓶近表面分层或内部不均匀性</w:t>
            </w:r>
          </w:p>
        </w:tc>
      </w:tr>
      <w:tr w14:paraId="5EA8CB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shd w:val="clear" w:color="auto" w:fill="auto"/>
            <w:vAlign w:val="center"/>
          </w:tcPr>
          <w:p w14:paraId="5E5BA6FB">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3</w:t>
            </w:r>
          </w:p>
        </w:tc>
        <w:tc>
          <w:tcPr>
            <w:tcW w:w="1700" w:type="dxa"/>
            <w:shd w:val="clear" w:color="auto" w:fill="auto"/>
            <w:vAlign w:val="center"/>
          </w:tcPr>
          <w:p w14:paraId="7D21DF65">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超声波</w:t>
            </w:r>
          </w:p>
        </w:tc>
        <w:tc>
          <w:tcPr>
            <w:tcW w:w="3757" w:type="dxa"/>
            <w:shd w:val="clear" w:color="auto" w:fill="auto"/>
            <w:vAlign w:val="center"/>
          </w:tcPr>
          <w:p w14:paraId="17841B55">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脉冲激励、周期激励、编码激励</w:t>
            </w:r>
          </w:p>
        </w:tc>
        <w:tc>
          <w:tcPr>
            <w:tcW w:w="2333" w:type="dxa"/>
            <w:shd w:val="clear" w:color="auto" w:fill="auto"/>
            <w:vAlign w:val="center"/>
          </w:tcPr>
          <w:p w14:paraId="42194640">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可用于检测储氢气瓶表面及近表面的裂纹</w:t>
            </w:r>
          </w:p>
        </w:tc>
      </w:tr>
      <w:tr w14:paraId="4D8036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shd w:val="clear" w:color="auto" w:fill="auto"/>
            <w:vAlign w:val="center"/>
          </w:tcPr>
          <w:p w14:paraId="0CA08844">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4</w:t>
            </w:r>
          </w:p>
        </w:tc>
        <w:tc>
          <w:tcPr>
            <w:tcW w:w="1700" w:type="dxa"/>
            <w:shd w:val="clear" w:color="auto" w:fill="auto"/>
            <w:vAlign w:val="center"/>
          </w:tcPr>
          <w:p w14:paraId="05986309">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LED阵列</w:t>
            </w:r>
          </w:p>
        </w:tc>
        <w:tc>
          <w:tcPr>
            <w:tcW w:w="3757" w:type="dxa"/>
            <w:shd w:val="clear" w:color="auto" w:fill="auto"/>
            <w:vAlign w:val="center"/>
          </w:tcPr>
          <w:p w14:paraId="421C0AF0">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脉冲激励、周期激励、编码激励</w:t>
            </w:r>
            <w:r>
              <w:rPr>
                <w:rFonts w:hint="eastAsia" w:ascii="宋体" w:hAnsi="Times New Roman"/>
                <w:kern w:val="0"/>
                <w:sz w:val="18"/>
                <w:szCs w:val="20"/>
              </w:rPr>
              <w:tab/>
            </w:r>
          </w:p>
        </w:tc>
        <w:tc>
          <w:tcPr>
            <w:tcW w:w="2333" w:type="dxa"/>
            <w:shd w:val="clear" w:color="auto" w:fill="auto"/>
            <w:vAlign w:val="center"/>
          </w:tcPr>
          <w:p w14:paraId="48DC7BA5">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可用于检测储氢气瓶分层或内部不均匀性</w:t>
            </w:r>
          </w:p>
        </w:tc>
      </w:tr>
    </w:tbl>
    <w:p w14:paraId="7D8B7BAE">
      <w:pPr>
        <w:pStyle w:val="213"/>
        <w:numPr>
          <w:ilvl w:val="0"/>
          <w:numId w:val="0"/>
        </w:numPr>
      </w:pPr>
    </w:p>
    <w:p w14:paraId="399A4BAF">
      <w:pPr>
        <w:pStyle w:val="213"/>
        <w:ind w:left="0"/>
      </w:pPr>
      <w:r>
        <w:rPr>
          <w:rFonts w:hint="eastAsia"/>
        </w:rPr>
        <w:t>控制与分析单元</w:t>
      </w:r>
    </w:p>
    <w:p w14:paraId="6F563D95">
      <w:pPr>
        <w:pStyle w:val="214"/>
        <w:ind w:left="0"/>
      </w:pPr>
      <w:r>
        <w:rPr>
          <w:rFonts w:hint="eastAsia"/>
        </w:rPr>
        <w:t>应具备控制红外热像仪采集开始和结束的能力和调节热像仪帧频的能力；</w:t>
      </w:r>
    </w:p>
    <w:p w14:paraId="43BE8F4D">
      <w:pPr>
        <w:pStyle w:val="214"/>
        <w:ind w:left="0"/>
      </w:pPr>
      <w:r>
        <w:rPr>
          <w:rFonts w:hint="eastAsia"/>
        </w:rPr>
        <w:t>应具有同步触发红外热像仪和激励热源同时工作的能力；</w:t>
      </w:r>
    </w:p>
    <w:p w14:paraId="00203C00">
      <w:pPr>
        <w:pStyle w:val="214"/>
        <w:ind w:left="0"/>
      </w:pPr>
      <w:r>
        <w:rPr>
          <w:rFonts w:hint="eastAsia"/>
        </w:rPr>
        <w:t>应具备动态调节控制热激励开关的能力；</w:t>
      </w:r>
    </w:p>
    <w:p w14:paraId="11BE8959">
      <w:pPr>
        <w:pStyle w:val="214"/>
        <w:ind w:left="0"/>
      </w:pPr>
      <w:r>
        <w:rPr>
          <w:rFonts w:hint="eastAsia"/>
        </w:rPr>
        <w:t>应具有对采集到的热图序列和热图进行存储的能力；对热图序列进行连续查看或者播放的能力；具有观看任意位置的温度或温度变化曲线的能力；</w:t>
      </w:r>
    </w:p>
    <w:p w14:paraId="0A2EDD44">
      <w:pPr>
        <w:pStyle w:val="214"/>
        <w:ind w:left="0"/>
      </w:pPr>
      <w:r>
        <w:rPr>
          <w:rFonts w:hint="eastAsia"/>
        </w:rPr>
        <w:t>应嵌有锁相热信号提取算法和频域匹配滤波处理算法；</w:t>
      </w:r>
    </w:p>
    <w:p w14:paraId="449F9AC0">
      <w:pPr>
        <w:pStyle w:val="214"/>
        <w:ind w:left="0"/>
      </w:pPr>
      <w:r>
        <w:rPr>
          <w:rFonts w:hint="eastAsia"/>
        </w:rPr>
        <w:t>一般还应有其他可增强储氢气瓶缺陷检测的先进信号处理与图像分析功能，如对比度调节、微分变化、滤波处理和图像分割等。</w:t>
      </w:r>
    </w:p>
    <w:p w14:paraId="008C5CA9">
      <w:pPr>
        <w:pStyle w:val="78"/>
        <w:spacing w:before="156" w:after="156"/>
      </w:pPr>
      <w:bookmarkStart w:id="156" w:name="_Toc128401651"/>
      <w:r>
        <w:rPr>
          <w:rFonts w:hint="eastAsia"/>
        </w:rPr>
        <w:t>检测步骤</w:t>
      </w:r>
      <w:bookmarkEnd w:id="156"/>
    </w:p>
    <w:p w14:paraId="23CB7126">
      <w:pPr>
        <w:pStyle w:val="79"/>
        <w:spacing w:before="156" w:after="156"/>
        <w:ind w:left="0"/>
      </w:pPr>
      <w:bookmarkStart w:id="157" w:name="_Toc128401652"/>
      <w:r>
        <w:rPr>
          <w:rFonts w:hint="eastAsia"/>
        </w:rPr>
        <w:t>热激励的选择</w:t>
      </w:r>
      <w:bookmarkEnd w:id="157"/>
    </w:p>
    <w:p w14:paraId="4EC089A9">
      <w:pPr>
        <w:widowControl/>
        <w:autoSpaceDE w:val="0"/>
        <w:autoSpaceDN w:val="0"/>
        <w:adjustRightInd/>
        <w:spacing w:line="240" w:lineRule="auto"/>
        <w:ind w:firstLine="420" w:firstLineChars="200"/>
        <w:rPr>
          <w:rFonts w:ascii="宋体" w:hAnsi="Times New Roman"/>
          <w:kern w:val="0"/>
          <w:szCs w:val="20"/>
        </w:rPr>
      </w:pPr>
      <w:bookmarkStart w:id="158" w:name="OLE_LINK1"/>
      <w:r>
        <w:rPr>
          <w:rFonts w:hint="eastAsia" w:ascii="宋体" w:hAnsi="Times New Roman"/>
          <w:kern w:val="0"/>
          <w:szCs w:val="20"/>
        </w:rPr>
        <w:t>检测前，应根据储氢气瓶缺陷类型和物理结构尺寸信息，选择合适的激励频率范围，并</w:t>
      </w:r>
      <w:r>
        <w:rPr>
          <w:rFonts w:hint="eastAsia" w:ascii="宋体" w:hAnsi="Times New Roman"/>
          <w:kern w:val="0"/>
          <w:szCs w:val="20"/>
          <w:highlight w:val="yellow"/>
        </w:rPr>
        <w:t>按</w:t>
      </w:r>
      <w:r>
        <w:rPr>
          <w:rFonts w:hint="eastAsia" w:ascii="宋体" w:hAnsi="Times New Roman"/>
          <w:kern w:val="0"/>
          <w:szCs w:val="20"/>
          <w:highlight w:val="yellow"/>
          <w:lang w:val="en-US" w:eastAsia="zh-CN"/>
        </w:rPr>
        <w:t>D6</w:t>
      </w:r>
      <w:r>
        <w:rPr>
          <w:rFonts w:hint="eastAsia" w:ascii="宋体" w:hAnsi="Times New Roman"/>
          <w:kern w:val="0"/>
          <w:szCs w:val="20"/>
          <w:highlight w:val="yellow"/>
        </w:rPr>
        <w:t xml:space="preserve">.2 </w:t>
      </w:r>
      <w:r>
        <w:rPr>
          <w:rFonts w:hint="eastAsia" w:ascii="宋体" w:hAnsi="Times New Roman"/>
          <w:kern w:val="0"/>
          <w:szCs w:val="20"/>
        </w:rPr>
        <w:t>的要求选择合适的卤素灯。</w:t>
      </w:r>
    </w:p>
    <w:bookmarkEnd w:id="158"/>
    <w:p w14:paraId="4B6DE8FB">
      <w:pPr>
        <w:pStyle w:val="79"/>
        <w:spacing w:before="156" w:after="156"/>
        <w:ind w:left="0"/>
      </w:pPr>
      <w:bookmarkStart w:id="159" w:name="_Toc128401653"/>
      <w:r>
        <w:rPr>
          <w:rFonts w:hint="eastAsia"/>
        </w:rPr>
        <w:t>检测准备</w:t>
      </w:r>
      <w:bookmarkEnd w:id="159"/>
    </w:p>
    <w:p w14:paraId="528FB967">
      <w:pPr>
        <w:pStyle w:val="213"/>
        <w:ind w:left="0"/>
      </w:pPr>
      <w:bookmarkStart w:id="160" w:name="OLE_LINK2"/>
      <w:r>
        <w:rPr>
          <w:rFonts w:hint="eastAsia"/>
        </w:rPr>
        <w:t>检测前，应对储氢气瓶表面状况进行详细检查与记录，以排除表面不清洁导致的伪显示的可能性，并尽可能使储氢气瓶表面发射率均匀。</w:t>
      </w:r>
      <w:bookmarkEnd w:id="160"/>
    </w:p>
    <w:p w14:paraId="5F636F5C">
      <w:pPr>
        <w:pStyle w:val="213"/>
        <w:ind w:left="0"/>
      </w:pPr>
      <w:r>
        <w:rPr>
          <w:rFonts w:hint="eastAsia"/>
        </w:rPr>
        <w:t>检测前，应注意卤素灯激励源的使用安全，应避免长时间直视卤素灯热源。</w:t>
      </w:r>
    </w:p>
    <w:p w14:paraId="261A815F">
      <w:pPr>
        <w:pStyle w:val="213"/>
        <w:ind w:left="0"/>
      </w:pPr>
      <w:r>
        <w:rPr>
          <w:rFonts w:hint="eastAsia"/>
        </w:rPr>
        <w:t>检测前，应确保储氢气瓶处于表面热平衡状态，用手直接接触被测件会导致被测件热不平衡，应等待一段时间待被测件重新热平衡后开始检测；</w:t>
      </w:r>
    </w:p>
    <w:p w14:paraId="15253A08">
      <w:pPr>
        <w:pStyle w:val="213"/>
        <w:ind w:left="0"/>
      </w:pPr>
      <w:r>
        <w:rPr>
          <w:rFonts w:hint="eastAsia"/>
        </w:rPr>
        <w:t>正式检测前，宜对标准试块进行检测，确定检测工艺参数。</w:t>
      </w:r>
    </w:p>
    <w:p w14:paraId="04B3FBA9">
      <w:pPr>
        <w:pStyle w:val="79"/>
        <w:spacing w:before="156" w:after="156"/>
        <w:ind w:left="0"/>
      </w:pPr>
      <w:bookmarkStart w:id="161" w:name="_Toc128401654"/>
      <w:r>
        <w:rPr>
          <w:rFonts w:hint="eastAsia"/>
        </w:rPr>
        <w:t>检测设置</w:t>
      </w:r>
      <w:bookmarkEnd w:id="161"/>
    </w:p>
    <w:p w14:paraId="07CA30B4">
      <w:pPr>
        <w:pStyle w:val="213"/>
        <w:ind w:left="0"/>
      </w:pPr>
      <w:r>
        <w:rPr>
          <w:rFonts w:hint="eastAsia"/>
        </w:rPr>
        <w:t>仪器校正</w:t>
      </w:r>
    </w:p>
    <w:p w14:paraId="72BB269B">
      <w:pPr>
        <w:adjustRightInd/>
        <w:spacing w:line="240" w:lineRule="auto"/>
        <w:ind w:firstLine="420" w:firstLineChars="200"/>
        <w:rPr>
          <w:rFonts w:ascii="宋体" w:hAnsi="Times New Roman"/>
          <w:kern w:val="0"/>
          <w:szCs w:val="20"/>
        </w:rPr>
      </w:pPr>
      <w:r>
        <w:rPr>
          <w:rFonts w:hint="eastAsia" w:ascii="宋体" w:hAnsi="Times New Roman"/>
          <w:kern w:val="0"/>
          <w:szCs w:val="20"/>
        </w:rPr>
        <w:t>在使用红外热像仪前，应对红外热像仪的探测单元进行非均匀性校正。一般采用发射率高且均匀的材料（如黑色海绵）放置在距离热像仪镜头较近的地方进行非均匀性校正。</w:t>
      </w:r>
    </w:p>
    <w:p w14:paraId="10C4F183">
      <w:pPr>
        <w:pStyle w:val="213"/>
        <w:ind w:left="0"/>
      </w:pPr>
      <w:r>
        <w:rPr>
          <w:rFonts w:hint="eastAsia"/>
        </w:rPr>
        <w:t>调节视场和空间分辨率</w:t>
      </w:r>
    </w:p>
    <w:p w14:paraId="2A10C421">
      <w:pPr>
        <w:adjustRightInd/>
        <w:spacing w:line="240" w:lineRule="auto"/>
        <w:ind w:firstLine="420" w:firstLineChars="200"/>
        <w:rPr>
          <w:rFonts w:ascii="宋体" w:hAnsi="Times New Roman"/>
          <w:kern w:val="0"/>
          <w:szCs w:val="20"/>
        </w:rPr>
      </w:pPr>
      <w:r>
        <w:rPr>
          <w:rFonts w:hint="eastAsia" w:ascii="宋体" w:hAnsi="Times New Roman"/>
          <w:kern w:val="0"/>
          <w:szCs w:val="20"/>
        </w:rPr>
        <w:t>根据检测要求和储氢气瓶的物理结构尺寸确定一次成像视场范围。一般来说，采用大视场时，检测距离（热像仪镜头和被测件间的距离）较长，检测的空间分辨率较低，采用小视场时，检测距离较短，检测的空间分辨率较高。这里调近储氢气瓶探测区域与红外热像仪位置，以尽可能获得高分辨率检测结果。</w:t>
      </w:r>
    </w:p>
    <w:p w14:paraId="4C21900F">
      <w:pPr>
        <w:adjustRightInd/>
        <w:spacing w:line="240" w:lineRule="auto"/>
        <w:ind w:firstLine="420" w:firstLineChars="200"/>
        <w:rPr>
          <w:rFonts w:ascii="宋体" w:hAnsi="Times New Roman"/>
          <w:kern w:val="0"/>
          <w:szCs w:val="20"/>
        </w:rPr>
      </w:pPr>
      <w:r>
        <w:rPr>
          <w:rFonts w:hint="eastAsia" w:ascii="宋体" w:hAnsi="Times New Roman"/>
          <w:kern w:val="0"/>
          <w:szCs w:val="20"/>
        </w:rPr>
        <w:t>当感兴趣检测区域大于选择的视场范围时，可对被测件进行分区检测处理，分区检测时应考虑每一分区每次检测之间的热影响和作好分区标记。</w:t>
      </w:r>
    </w:p>
    <w:p w14:paraId="3EA0701B">
      <w:pPr>
        <w:pStyle w:val="213"/>
        <w:ind w:left="0"/>
      </w:pPr>
      <w:r>
        <w:rPr>
          <w:rFonts w:hint="eastAsia"/>
        </w:rPr>
        <w:t>对焦</w:t>
      </w:r>
    </w:p>
    <w:p w14:paraId="2BF9A1CA">
      <w:pPr>
        <w:adjustRightInd/>
        <w:spacing w:line="240" w:lineRule="auto"/>
        <w:ind w:firstLine="420" w:firstLineChars="200"/>
        <w:rPr>
          <w:rFonts w:ascii="宋体" w:hAnsi="Times New Roman"/>
          <w:kern w:val="0"/>
          <w:szCs w:val="20"/>
        </w:rPr>
      </w:pPr>
      <w:r>
        <w:rPr>
          <w:rFonts w:hint="eastAsia" w:ascii="宋体" w:hAnsi="Times New Roman"/>
          <w:kern w:val="0"/>
          <w:szCs w:val="20"/>
        </w:rPr>
        <w:t>确定视场与检测距离后，应对热像仪进行对焦，使热像仪图像清晰。必要时，在检测工作距离处放置对焦辅助参照物（如金属刻度尺），调节焦距，待参照物细节轮廓清晰可见时，完成对焦。改变检测距离后，应重新对焦。</w:t>
      </w:r>
    </w:p>
    <w:p w14:paraId="22C07E07">
      <w:pPr>
        <w:pStyle w:val="213"/>
        <w:ind w:left="0"/>
      </w:pPr>
      <w:r>
        <w:rPr>
          <w:rFonts w:hint="eastAsia"/>
        </w:rPr>
        <w:t>设置角度</w:t>
      </w:r>
    </w:p>
    <w:p w14:paraId="4DAF9C7F">
      <w:pPr>
        <w:adjustRightInd/>
        <w:spacing w:line="240" w:lineRule="auto"/>
        <w:ind w:firstLine="420" w:firstLineChars="200"/>
        <w:rPr>
          <w:rFonts w:ascii="宋体" w:hAnsi="Times New Roman"/>
          <w:kern w:val="0"/>
          <w:szCs w:val="20"/>
        </w:rPr>
      </w:pPr>
      <w:r>
        <w:rPr>
          <w:rFonts w:hint="eastAsia" w:ascii="宋体" w:hAnsi="Times New Roman"/>
          <w:kern w:val="0"/>
          <w:szCs w:val="20"/>
        </w:rPr>
        <w:t>红外热像仪光学系统轴线方向与垂直被测件表面的直线间夹角应小于45°，如不能满足，角度应最大不能超过60°。如果角度超过60°或检测面在背面，可使用红外反射镜。</w:t>
      </w:r>
    </w:p>
    <w:p w14:paraId="651398B0">
      <w:pPr>
        <w:pStyle w:val="213"/>
        <w:ind w:left="0"/>
      </w:pPr>
      <w:r>
        <w:rPr>
          <w:rFonts w:hint="eastAsia"/>
        </w:rPr>
        <w:t>帧频与积分时间</w:t>
      </w:r>
    </w:p>
    <w:p w14:paraId="3BD58F00">
      <w:pPr>
        <w:adjustRightInd/>
        <w:spacing w:line="240" w:lineRule="auto"/>
        <w:ind w:firstLine="420" w:firstLineChars="200"/>
        <w:rPr>
          <w:rFonts w:ascii="宋体" w:hAnsi="Times New Roman"/>
          <w:kern w:val="0"/>
          <w:szCs w:val="20"/>
        </w:rPr>
      </w:pPr>
      <w:r>
        <w:rPr>
          <w:rFonts w:hint="eastAsia" w:ascii="宋体" w:hAnsi="Times New Roman"/>
          <w:kern w:val="0"/>
          <w:szCs w:val="20"/>
        </w:rPr>
        <w:t>为获得高分辨率检测结果，将红外热像仪采集帧频设置为50Hz，积分时间不低于8ms。</w:t>
      </w:r>
    </w:p>
    <w:p w14:paraId="0ADBBE88">
      <w:pPr>
        <w:pStyle w:val="213"/>
        <w:ind w:left="0"/>
      </w:pPr>
      <w:r>
        <w:rPr>
          <w:rFonts w:hint="eastAsia"/>
        </w:rPr>
        <w:t>激励参数</w:t>
      </w:r>
    </w:p>
    <w:p w14:paraId="2B291E7B">
      <w:pPr>
        <w:adjustRightInd/>
        <w:spacing w:line="240" w:lineRule="auto"/>
        <w:ind w:firstLine="420" w:firstLineChars="200"/>
        <w:rPr>
          <w:rFonts w:ascii="宋体" w:hAnsi="Times New Roman"/>
          <w:kern w:val="0"/>
          <w:szCs w:val="20"/>
        </w:rPr>
      </w:pPr>
      <w:r>
        <w:rPr>
          <w:rFonts w:hint="eastAsia" w:ascii="宋体" w:hAnsi="Times New Roman"/>
          <w:kern w:val="0"/>
          <w:szCs w:val="20"/>
        </w:rPr>
        <w:t>应根据储氢气瓶缺陷类型和表面状态，选择合适的激励参数，通常卤素灯功率输出不低于1000W，当激励形式为正弦调制波形时，激励时间通常不低于100s，激励频率通常不高于0.05Hz，至少需完成一个采集周期；当激励形式为线性调频/非线性调频波形时，激励时间通常不低于100s，激励频率范围为0.01-0.1Hz。</w:t>
      </w:r>
    </w:p>
    <w:p w14:paraId="63831B90">
      <w:pPr>
        <w:pStyle w:val="213"/>
        <w:ind w:left="0"/>
      </w:pPr>
      <w:r>
        <w:rPr>
          <w:rFonts w:hint="eastAsia"/>
        </w:rPr>
        <w:t>采集时间</w:t>
      </w:r>
    </w:p>
    <w:p w14:paraId="37C55D12">
      <w:pPr>
        <w:adjustRightInd/>
        <w:spacing w:line="240" w:lineRule="auto"/>
        <w:ind w:firstLine="420" w:firstLineChars="200"/>
        <w:rPr>
          <w:rFonts w:ascii="宋体" w:hAnsi="Times New Roman"/>
          <w:kern w:val="0"/>
          <w:szCs w:val="20"/>
        </w:rPr>
      </w:pPr>
      <w:r>
        <w:rPr>
          <w:rFonts w:hint="eastAsia" w:ascii="宋体" w:hAnsi="Times New Roman"/>
          <w:kern w:val="0"/>
          <w:szCs w:val="20"/>
        </w:rPr>
        <w:t>热像仪采集时间宜完整覆盖被测件温度变化过程;对于红外热像仪和卤素灯处于同侧检测状态时，采集时间宜大于热量从检测表面传递到检测背面所需时间的两倍。</w:t>
      </w:r>
    </w:p>
    <w:p w14:paraId="29905BC0">
      <w:pPr>
        <w:pStyle w:val="79"/>
        <w:spacing w:before="156" w:after="156"/>
        <w:ind w:left="0"/>
      </w:pPr>
      <w:bookmarkStart w:id="162" w:name="_Toc128401655"/>
      <w:r>
        <w:rPr>
          <w:rFonts w:hint="eastAsia"/>
        </w:rPr>
        <w:t>检测实施</w:t>
      </w:r>
      <w:bookmarkEnd w:id="162"/>
    </w:p>
    <w:p w14:paraId="221C90EB">
      <w:pPr>
        <w:pStyle w:val="213"/>
        <w:ind w:left="0"/>
      </w:pPr>
      <w:r>
        <w:rPr>
          <w:rFonts w:hint="eastAsia"/>
        </w:rPr>
        <w:t>完成热流激励的选择以及检测准备和设置后，触发热激励单元对被测件表面进行激励，对于面热流激励，产生的面热流分布区域应大于待检区域，并且激励能量密度应在被检区域内均匀分布。</w:t>
      </w:r>
    </w:p>
    <w:p w14:paraId="3CF05BBE">
      <w:pPr>
        <w:pStyle w:val="213"/>
        <w:ind w:left="0"/>
      </w:pPr>
      <w:r>
        <w:rPr>
          <w:rFonts w:hint="eastAsia"/>
        </w:rPr>
        <w:t>数据采集过程中，被测件应和热像仪保持相对静止。</w:t>
      </w:r>
    </w:p>
    <w:p w14:paraId="6BFC4FBA">
      <w:pPr>
        <w:pStyle w:val="213"/>
        <w:ind w:left="0"/>
      </w:pPr>
      <w:r>
        <w:rPr>
          <w:rFonts w:hint="eastAsia"/>
        </w:rPr>
        <w:t>利用热像仪进行检测数据同步采集、记录与储存。一般针对原始热图序列和某一时刻的原始热图进行数据保存。</w:t>
      </w:r>
    </w:p>
    <w:p w14:paraId="498B8C41">
      <w:pPr>
        <w:pStyle w:val="213"/>
        <w:ind w:left="0"/>
      </w:pPr>
      <w:r>
        <w:rPr>
          <w:rFonts w:hint="eastAsia"/>
        </w:rPr>
        <w:t>如需要对被测件进行二次检测，应等待被测件热平衡后再次进行。</w:t>
      </w:r>
    </w:p>
    <w:p w14:paraId="099072DB">
      <w:pPr>
        <w:pStyle w:val="79"/>
        <w:spacing w:before="156" w:after="156"/>
        <w:ind w:left="0"/>
      </w:pPr>
      <w:bookmarkStart w:id="163" w:name="_Toc128401656"/>
      <w:r>
        <w:rPr>
          <w:rFonts w:hint="eastAsia"/>
        </w:rPr>
        <w:t>检测评价</w:t>
      </w:r>
      <w:bookmarkEnd w:id="163"/>
    </w:p>
    <w:p w14:paraId="0592FBDA">
      <w:pPr>
        <w:pStyle w:val="213"/>
        <w:ind w:left="0"/>
      </w:pPr>
      <w:r>
        <w:rPr>
          <w:rFonts w:hint="eastAsia"/>
        </w:rPr>
        <w:t>正式进行检测评价前，应选取合适的图像显示方式，通过全局或局部的对比度、亮度调整等，使图像便于观察。根据图像上细节特征的灰度、形状和尺寸等情况对图像进行进一步分析。</w:t>
      </w:r>
    </w:p>
    <w:p w14:paraId="72D487D3">
      <w:pPr>
        <w:pStyle w:val="213"/>
        <w:ind w:left="0"/>
      </w:pPr>
      <w:r>
        <w:rPr>
          <w:rFonts w:hint="eastAsia"/>
        </w:rPr>
        <w:t>热图序列是判断和测量不连续的主要手段，主要通过不连续区域和正常区域的灰度差异（对比度）进行不连续判读。宜利用原始热图序列和微分热图序列对检测结果进行排查，确定出现热异常的热图序列并分析热异常（不连续）区域。</w:t>
      </w:r>
    </w:p>
    <w:p w14:paraId="5E6B9B3E">
      <w:pPr>
        <w:pStyle w:val="213"/>
        <w:ind w:left="0"/>
      </w:pPr>
      <w:r>
        <w:rPr>
          <w:rFonts w:hint="eastAsia"/>
        </w:rPr>
        <w:t>利用热图中不连续区域和正常区域的温度随时间变化曲线进行比对分析，判断不连续深度和热物理特性（蓄热或疏热）。</w:t>
      </w:r>
    </w:p>
    <w:p w14:paraId="612F8173">
      <w:pPr>
        <w:pStyle w:val="213"/>
        <w:ind w:left="0"/>
      </w:pPr>
      <w:r>
        <w:rPr>
          <w:rFonts w:hint="eastAsia"/>
        </w:rPr>
        <w:t>应同时了解被测件的材料、结构、表面状况和制造工艺等必要信息，结合检测参数与设置，对热异常（不连续）区域进行合理评判。</w:t>
      </w:r>
    </w:p>
    <w:p w14:paraId="7685F024">
      <w:pPr>
        <w:pStyle w:val="213"/>
        <w:ind w:left="0"/>
      </w:pPr>
      <w:r>
        <w:rPr>
          <w:rFonts w:hint="eastAsia"/>
        </w:rPr>
        <w:t>应尽可能消除被测件的结构、表面状况或表面反射等造成的影响。</w:t>
      </w:r>
    </w:p>
    <w:p w14:paraId="0B5A8D57">
      <w:pPr>
        <w:pStyle w:val="213"/>
        <w:ind w:left="0"/>
      </w:pPr>
      <w:r>
        <w:rPr>
          <w:rFonts w:hint="eastAsia"/>
        </w:rPr>
        <w:t>尺寸</w:t>
      </w:r>
      <w:bookmarkStart w:id="164" w:name="OLE_LINK4"/>
      <w:r>
        <w:rPr>
          <w:rFonts w:hint="eastAsia"/>
        </w:rPr>
        <w:t>测量的一般做法为：放置一个已知长度为</w:t>
      </w:r>
      <m:oMath>
        <m:r>
          <m:rPr/>
          <w:rPr>
            <w:rFonts w:ascii="Cambria Math"/>
            <w:sz w:val="24"/>
          </w:rPr>
          <m:t>L</m:t>
        </m:r>
      </m:oMath>
      <w:r>
        <w:rPr>
          <w:rFonts w:hint="eastAsia"/>
        </w:rPr>
        <w:t>的物体（如金属刻度尺）在被测件前，通过确定该长度L对应的像素个数</w:t>
      </w:r>
      <m:oMath>
        <m:r>
          <m:rPr/>
          <w:rPr>
            <w:rFonts w:ascii="Cambria Math"/>
            <w:sz w:val="24"/>
          </w:rPr>
          <m:t>n</m:t>
        </m:r>
      </m:oMath>
      <w:r>
        <w:rPr>
          <w:rFonts w:hint="eastAsia"/>
        </w:rPr>
        <w:t>，计算得出在该检测距离（视场）下单个像素代表的实际尺寸</w:t>
      </w:r>
      <m:oMath>
        <m:sSub>
          <m:sSubPr>
            <m:ctrlPr>
              <w:rPr>
                <w:rFonts w:ascii="Cambria Math" w:hAnsi="Cambria Math"/>
                <w:i/>
                <w:sz w:val="24"/>
              </w:rPr>
            </m:ctrlPr>
          </m:sSubPr>
          <m:e>
            <m:r>
              <m:rPr/>
              <w:rPr>
                <w:rFonts w:ascii="Cambria Math"/>
                <w:sz w:val="24"/>
              </w:rPr>
              <m:t>L</m:t>
            </m:r>
            <m:ctrlPr>
              <w:rPr>
                <w:rFonts w:ascii="Cambria Math" w:hAnsi="Cambria Math"/>
                <w:i/>
                <w:sz w:val="24"/>
              </w:rPr>
            </m:ctrlPr>
          </m:e>
          <m:sub>
            <m:r>
              <m:rPr/>
              <w:rPr>
                <w:rFonts w:ascii="Cambria Math"/>
                <w:sz w:val="24"/>
              </w:rPr>
              <m:t>r</m:t>
            </m:r>
            <m:ctrlPr>
              <w:rPr>
                <w:rFonts w:ascii="Cambria Math" w:hAnsi="Cambria Math"/>
                <w:i/>
                <w:sz w:val="24"/>
              </w:rPr>
            </m:ctrlPr>
          </m:sub>
        </m:sSub>
      </m:oMath>
      <w:r>
        <w:rPr>
          <w:rFonts w:hint="eastAsia"/>
        </w:rPr>
        <w:t>，具体可按下式计算：</w:t>
      </w:r>
    </w:p>
    <w:bookmarkEnd w:id="164"/>
    <w:p w14:paraId="2BED0A9D">
      <w:pPr>
        <w:tabs>
          <w:tab w:val="center" w:pos="4678"/>
          <w:tab w:val="right" w:leader="middleDot" w:pos="9356"/>
        </w:tabs>
        <w:spacing w:line="240" w:lineRule="auto"/>
        <w:rPr>
          <w:rFonts w:hint="eastAsia" w:ascii="宋体" w:hAnsi="宋体"/>
        </w:rPr>
      </w:pPr>
      <w:r>
        <w:rPr>
          <w:rFonts w:ascii="宋体" w:hAnsi="宋体"/>
        </w:rPr>
        <w:tab/>
      </w:r>
      <m:oMath>
        <m:sSub>
          <m:sSubPr>
            <m:ctrlPr>
              <w:rPr>
                <w:rFonts w:ascii="Cambria Math" w:hAnsi="Times New Roman"/>
                <w:i/>
                <w:sz w:val="24"/>
              </w:rPr>
            </m:ctrlPr>
          </m:sSubPr>
          <m:e>
            <m:r>
              <m:rPr/>
              <w:rPr>
                <w:rFonts w:ascii="Cambria Math" w:hAnsi="Times New Roman"/>
                <w:sz w:val="24"/>
              </w:rPr>
              <m:t>L</m:t>
            </m:r>
            <m:ctrlPr>
              <w:rPr>
                <w:rFonts w:ascii="Cambria Math" w:hAnsi="Times New Roman"/>
                <w:i/>
                <w:sz w:val="24"/>
              </w:rPr>
            </m:ctrlPr>
          </m:e>
          <m:sub>
            <m:r>
              <m:rPr/>
              <w:rPr>
                <w:rFonts w:ascii="Cambria Math" w:hAnsi="Times New Roman"/>
                <w:sz w:val="24"/>
              </w:rPr>
              <m:t>r</m:t>
            </m:r>
            <m:ctrlPr>
              <w:rPr>
                <w:rFonts w:ascii="Cambria Math" w:hAnsi="Times New Roman"/>
                <w:i/>
                <w:sz w:val="24"/>
              </w:rPr>
            </m:ctrlPr>
          </m:sub>
        </m:sSub>
        <m:r>
          <m:rPr/>
          <w:rPr>
            <w:rFonts w:ascii="Cambria Math" w:hAnsi="Times New Roman"/>
            <w:sz w:val="24"/>
          </w:rPr>
          <m:t>=</m:t>
        </m:r>
        <m:f>
          <m:fPr>
            <m:ctrlPr>
              <w:rPr>
                <w:rFonts w:ascii="Cambria Math" w:hAnsi="Times New Roman"/>
                <w:i/>
                <w:sz w:val="24"/>
              </w:rPr>
            </m:ctrlPr>
          </m:fPr>
          <m:num>
            <m:r>
              <m:rPr/>
              <w:rPr>
                <w:rFonts w:ascii="Cambria Math" w:hAnsi="Times New Roman"/>
                <w:sz w:val="24"/>
              </w:rPr>
              <m:t>L</m:t>
            </m:r>
            <m:ctrlPr>
              <w:rPr>
                <w:rFonts w:ascii="Cambria Math" w:hAnsi="Times New Roman"/>
                <w:i/>
                <w:sz w:val="24"/>
              </w:rPr>
            </m:ctrlPr>
          </m:num>
          <m:den>
            <m:r>
              <m:rPr/>
              <w:rPr>
                <w:rFonts w:ascii="Cambria Math" w:hAnsi="Times New Roman"/>
                <w:sz w:val="24"/>
              </w:rPr>
              <m:t>n</m:t>
            </m:r>
            <m:ctrlPr>
              <w:rPr>
                <w:rFonts w:ascii="Cambria Math" w:hAnsi="Times New Roman"/>
                <w:i/>
                <w:sz w:val="24"/>
              </w:rPr>
            </m:ctrlPr>
          </m:den>
        </m:f>
        <m:r>
          <m:rPr/>
          <w:rPr>
            <w:rFonts w:ascii="Cambria Math" w:hAnsi="Cambria Math"/>
          </w:rPr>
          <m:t xml:space="preserve"> </m:t>
        </m:r>
      </m:oMath>
      <w:r>
        <w:rPr>
          <w:rFonts w:ascii="微软雅黑" w:hAnsi="微软雅黑" w:eastAsia="微软雅黑"/>
        </w:rPr>
        <w:tab/>
      </w:r>
      <w:r>
        <w:rPr>
          <w:rFonts w:ascii="宋体" w:hAnsi="宋体"/>
        </w:rPr>
        <w:t>(</w:t>
      </w:r>
      <w:r>
        <w:rPr>
          <w:rFonts w:ascii="宋体" w:hAnsi="宋体"/>
        </w:rPr>
        <w:fldChar w:fldCharType="begin"/>
      </w:r>
      <w:r>
        <w:rPr>
          <w:rFonts w:ascii="宋体" w:hAnsi="宋体"/>
        </w:rPr>
        <w:instrText xml:space="preserve"> AUTONUM </w:instrText>
      </w:r>
      <w:r>
        <w:rPr>
          <w:rFonts w:ascii="宋体" w:hAnsi="宋体"/>
        </w:rPr>
        <w:fldChar w:fldCharType="end"/>
      </w:r>
      <w:r>
        <w:rPr>
          <w:rFonts w:ascii="宋体" w:hAnsi="宋体"/>
        </w:rPr>
        <w:t>)</w:t>
      </w:r>
    </w:p>
    <w:p w14:paraId="3FBCF1DE">
      <w:pPr>
        <w:snapToGrid w:val="0"/>
        <w:ind w:firstLine="420" w:firstLineChars="200"/>
        <w:rPr>
          <w:kern w:val="0"/>
        </w:rPr>
      </w:pPr>
      <w:r>
        <w:rPr>
          <w:rFonts w:hint="eastAsia"/>
          <w:kern w:val="0"/>
        </w:rPr>
        <w:t>式中：</w:t>
      </w:r>
    </w:p>
    <w:p w14:paraId="4E979A67">
      <w:pPr>
        <w:widowControl/>
        <w:autoSpaceDE w:val="0"/>
        <w:autoSpaceDN w:val="0"/>
        <w:adjustRightInd/>
        <w:spacing w:line="240" w:lineRule="auto"/>
        <w:ind w:firstLine="480" w:firstLineChars="200"/>
        <w:rPr>
          <w:rFonts w:ascii="宋体" w:hAnsi="Times New Roman"/>
          <w:kern w:val="0"/>
          <w:szCs w:val="20"/>
        </w:rPr>
      </w:pPr>
      <m:oMath>
        <m:sSub>
          <m:sSubPr>
            <m:ctrlPr>
              <w:rPr>
                <w:rFonts w:ascii="Cambria Math" w:hAnsi="Cambria Math"/>
                <w:i/>
                <w:kern w:val="0"/>
                <w:sz w:val="24"/>
                <w:szCs w:val="20"/>
              </w:rPr>
            </m:ctrlPr>
          </m:sSubPr>
          <m:e>
            <m:r>
              <m:rPr/>
              <w:rPr>
                <w:rFonts w:ascii="Cambria Math" w:hAnsi="Times New Roman"/>
                <w:kern w:val="0"/>
                <w:sz w:val="24"/>
                <w:szCs w:val="20"/>
              </w:rPr>
              <m:t>L</m:t>
            </m:r>
            <m:ctrlPr>
              <w:rPr>
                <w:rFonts w:ascii="Cambria Math" w:hAnsi="Cambria Math"/>
                <w:i/>
                <w:kern w:val="0"/>
                <w:sz w:val="24"/>
                <w:szCs w:val="20"/>
              </w:rPr>
            </m:ctrlPr>
          </m:e>
          <m:sub>
            <m:r>
              <m:rPr/>
              <w:rPr>
                <w:rFonts w:ascii="Cambria Math" w:hAnsi="Times New Roman"/>
                <w:kern w:val="0"/>
                <w:sz w:val="24"/>
                <w:szCs w:val="20"/>
              </w:rPr>
              <m:t>r</m:t>
            </m:r>
            <m:ctrlPr>
              <w:rPr>
                <w:rFonts w:ascii="Cambria Math" w:hAnsi="Cambria Math"/>
                <w:i/>
                <w:kern w:val="0"/>
                <w:sz w:val="24"/>
                <w:szCs w:val="20"/>
              </w:rPr>
            </m:ctrlPr>
          </m:sub>
        </m:sSub>
      </m:oMath>
      <w:r>
        <w:rPr>
          <w:rFonts w:hint="eastAsia" w:ascii="宋体" w:hAnsi="Times New Roman"/>
          <w:kern w:val="0"/>
          <w:szCs w:val="20"/>
        </w:rPr>
        <w:t>—该检测距离（视场）下单个像素代表的实际尺寸，单位为毫米（mm）；</w:t>
      </w:r>
    </w:p>
    <w:p w14:paraId="290B4992">
      <w:pPr>
        <w:widowControl/>
        <w:autoSpaceDE w:val="0"/>
        <w:autoSpaceDN w:val="0"/>
        <w:adjustRightInd/>
        <w:spacing w:line="240" w:lineRule="auto"/>
        <w:ind w:firstLine="480" w:firstLineChars="200"/>
        <w:rPr>
          <w:rFonts w:ascii="宋体" w:hAnsi="Times New Roman"/>
          <w:kern w:val="0"/>
          <w:szCs w:val="20"/>
        </w:rPr>
      </w:pPr>
      <m:oMath>
        <m:r>
          <m:rPr/>
          <w:rPr>
            <w:rFonts w:ascii="Cambria Math" w:hAnsi="Times New Roman"/>
            <w:kern w:val="0"/>
            <w:sz w:val="24"/>
            <w:szCs w:val="20"/>
          </w:rPr>
          <m:t>L</m:t>
        </m:r>
      </m:oMath>
      <w:r>
        <w:rPr>
          <w:rFonts w:hint="eastAsia" w:ascii="宋体" w:hAnsi="Times New Roman"/>
          <w:kern w:val="0"/>
          <w:szCs w:val="20"/>
        </w:rPr>
        <w:t>—物体长度，单位为毫米（mm） ；</w:t>
      </w:r>
    </w:p>
    <w:p w14:paraId="31122BF3">
      <w:pPr>
        <w:widowControl/>
        <w:autoSpaceDE w:val="0"/>
        <w:autoSpaceDN w:val="0"/>
        <w:adjustRightInd/>
        <w:spacing w:line="240" w:lineRule="auto"/>
        <w:ind w:firstLine="480" w:firstLineChars="200"/>
        <w:rPr>
          <w:rFonts w:ascii="宋体" w:hAnsi="Times New Roman"/>
          <w:kern w:val="0"/>
          <w:szCs w:val="20"/>
        </w:rPr>
      </w:pPr>
      <m:oMath>
        <m:r>
          <m:rPr/>
          <w:rPr>
            <w:rFonts w:ascii="Cambria Math" w:hAnsi="Times New Roman"/>
            <w:kern w:val="0"/>
            <w:sz w:val="24"/>
            <w:szCs w:val="20"/>
          </w:rPr>
          <m:t>n</m:t>
        </m:r>
      </m:oMath>
      <w:r>
        <w:rPr>
          <w:rFonts w:hint="eastAsia" w:ascii="宋体" w:hAnsi="Times New Roman"/>
          <w:kern w:val="0"/>
          <w:szCs w:val="20"/>
        </w:rPr>
        <w:t>—物体长度对应的像素个数。</w:t>
      </w:r>
    </w:p>
    <w:p w14:paraId="212CCED0">
      <w:pPr>
        <w:pStyle w:val="78"/>
        <w:spacing w:before="156" w:after="156"/>
      </w:pPr>
      <w:bookmarkStart w:id="165" w:name="_Toc128401657"/>
      <w:r>
        <w:rPr>
          <w:rFonts w:hint="eastAsia"/>
        </w:rPr>
        <w:t>检测报告</w:t>
      </w:r>
      <w:bookmarkEnd w:id="165"/>
    </w:p>
    <w:p w14:paraId="4F06CA9E">
      <w:pPr>
        <w:pStyle w:val="174"/>
        <w:numPr>
          <w:ilvl w:val="0"/>
          <w:numId w:val="69"/>
        </w:numPr>
      </w:pPr>
      <w:r>
        <w:rPr>
          <w:rFonts w:hint="eastAsia"/>
        </w:rPr>
        <w:t>检测报告应包括以下内容：</w:t>
      </w:r>
    </w:p>
    <w:p w14:paraId="5297ED0F">
      <w:pPr>
        <w:pStyle w:val="174"/>
      </w:pPr>
      <w:r>
        <w:rPr>
          <w:rFonts w:hint="eastAsia"/>
        </w:rPr>
        <w:t>检测日期；</w:t>
      </w:r>
    </w:p>
    <w:p w14:paraId="296E343D">
      <w:pPr>
        <w:pStyle w:val="174"/>
      </w:pPr>
      <w:r>
        <w:rPr>
          <w:rFonts w:hint="eastAsia"/>
        </w:rPr>
        <w:t>检测人员；</w:t>
      </w:r>
    </w:p>
    <w:p w14:paraId="03D6CF32">
      <w:pPr>
        <w:pStyle w:val="174"/>
      </w:pPr>
      <w:r>
        <w:rPr>
          <w:rFonts w:hint="eastAsia"/>
        </w:rPr>
        <w:t>被测件信息及检测区域；</w:t>
      </w:r>
    </w:p>
    <w:p w14:paraId="62D76C21">
      <w:pPr>
        <w:pStyle w:val="174"/>
      </w:pPr>
      <w:r>
        <w:rPr>
          <w:rFonts w:hint="eastAsia"/>
        </w:rPr>
        <w:t>检测环境条件（温度、湿度）；</w:t>
      </w:r>
    </w:p>
    <w:p w14:paraId="7D5C2C50">
      <w:pPr>
        <w:pStyle w:val="174"/>
      </w:pPr>
      <w:r>
        <w:rPr>
          <w:rFonts w:hint="eastAsia"/>
        </w:rPr>
        <w:t>红外热像仪的相关信息（可参照8.1.3中的内容进行记录）；</w:t>
      </w:r>
    </w:p>
    <w:p w14:paraId="541D02B4">
      <w:pPr>
        <w:pStyle w:val="174"/>
      </w:pPr>
      <w:r>
        <w:rPr>
          <w:rFonts w:hint="eastAsia"/>
        </w:rPr>
        <w:t>热激励的相关信息（激励源类型、数量以及激励功率等）；</w:t>
      </w:r>
    </w:p>
    <w:p w14:paraId="77FDA727">
      <w:pPr>
        <w:pStyle w:val="174"/>
      </w:pPr>
      <w:r>
        <w:rPr>
          <w:rFonts w:hint="eastAsia"/>
        </w:rPr>
        <w:t>检测工艺参数；</w:t>
      </w:r>
    </w:p>
    <w:p w14:paraId="5902755C">
      <w:pPr>
        <w:pStyle w:val="174"/>
      </w:pPr>
      <w:r>
        <w:rPr>
          <w:rFonts w:hint="eastAsia"/>
        </w:rPr>
        <w:t>检测评价；</w:t>
      </w:r>
    </w:p>
    <w:p w14:paraId="4E5D1D5E">
      <w:pPr>
        <w:pStyle w:val="174"/>
      </w:pPr>
      <w:r>
        <w:rPr>
          <w:rFonts w:hint="eastAsia"/>
        </w:rPr>
        <w:t>其他（未在以上提及但影响检测结果的因素，如红外光学附件的使用等）。</w:t>
      </w:r>
    </w:p>
    <w:p w14:paraId="653C7BE8">
      <w:pPr>
        <w:widowControl/>
        <w:autoSpaceDE w:val="0"/>
        <w:autoSpaceDN w:val="0"/>
        <w:adjustRightInd/>
        <w:spacing w:line="240" w:lineRule="auto"/>
        <w:rPr>
          <w:rFonts w:ascii="宋体" w:hAnsi="Times New Roman"/>
          <w:kern w:val="0"/>
          <w:szCs w:val="20"/>
        </w:rPr>
      </w:pPr>
    </w:p>
    <w:p w14:paraId="367E8597">
      <w:pPr>
        <w:pStyle w:val="56"/>
        <w:ind w:firstLine="420"/>
        <w:sectPr>
          <w:pgSz w:w="11906" w:h="16838"/>
          <w:pgMar w:top="1928" w:right="1134" w:bottom="1134" w:left="1134" w:header="1418" w:footer="1134" w:gutter="284"/>
          <w:cols w:space="425" w:num="1"/>
          <w:formProt w:val="0"/>
          <w:docGrid w:type="lines" w:linePitch="312" w:charSpace="0"/>
        </w:sectPr>
      </w:pPr>
    </w:p>
    <w:p w14:paraId="7A1F7640">
      <w:pPr>
        <w:pStyle w:val="198"/>
        <w:ind w:left="0"/>
        <w:rPr>
          <w:rFonts w:hint="eastAsia"/>
        </w:rPr>
      </w:pPr>
    </w:p>
    <w:p w14:paraId="24087874">
      <w:pPr>
        <w:pStyle w:val="199"/>
        <w:ind w:left="0"/>
      </w:pPr>
    </w:p>
    <w:p w14:paraId="7401AFB6">
      <w:pPr>
        <w:pStyle w:val="76"/>
        <w:spacing w:after="156"/>
      </w:pPr>
      <w:r>
        <w:br w:type="textWrapping"/>
      </w:r>
      <w:bookmarkStart w:id="166" w:name="_Toc129620129"/>
      <w:r>
        <w:rPr>
          <w:rFonts w:hint="eastAsia"/>
        </w:rPr>
        <w:t>（规范性）</w:t>
      </w:r>
      <w:r>
        <w:br w:type="textWrapping"/>
      </w:r>
      <w:bookmarkEnd w:id="166"/>
      <w:r>
        <w:rPr>
          <w:rFonts w:hint="eastAsia"/>
        </w:rPr>
        <w:t>基于编码激励的相控阵超声检测</w:t>
      </w:r>
    </w:p>
    <w:p w14:paraId="7FBED472">
      <w:pPr>
        <w:pStyle w:val="78"/>
        <w:spacing w:before="156" w:after="156"/>
      </w:pPr>
      <w:bookmarkStart w:id="167" w:name="_Toc128401696"/>
      <w:r>
        <w:rPr>
          <w:rFonts w:hint="eastAsia"/>
        </w:rPr>
        <w:t>范围</w:t>
      </w:r>
      <w:bookmarkEnd w:id="167"/>
    </w:p>
    <w:p w14:paraId="56E9190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本附录规定了储氢气瓶的基于编码激励的全聚焦相控阵超声无损检测方法及质量分级要求。</w:t>
      </w:r>
    </w:p>
    <w:p w14:paraId="4771952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本附录适用于在制和在用储氢气瓶碳纤维复合材料缠绕层的相控阵超声检测。</w:t>
      </w:r>
    </w:p>
    <w:p w14:paraId="7DDC13F3">
      <w:pPr>
        <w:pStyle w:val="78"/>
        <w:spacing w:before="156" w:after="156"/>
      </w:pPr>
      <w:bookmarkStart w:id="168" w:name="_Toc128401697"/>
      <w:r>
        <w:rPr>
          <w:rFonts w:hint="eastAsia"/>
        </w:rPr>
        <w:t>规范性引用文件</w:t>
      </w:r>
      <w:bookmarkEnd w:id="168"/>
    </w:p>
    <w:sdt>
      <w:sdtPr>
        <w:rPr>
          <w:rFonts w:hint="eastAsia" w:ascii="宋体" w:hAnsi="Times New Roman"/>
          <w:kern w:val="0"/>
          <w:szCs w:val="20"/>
        </w:rPr>
        <w:id w:val="-677813585"/>
        <w:placeholder>
          <w:docPart w:val="548F3011F800465F8E6E752C57EC095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ascii="宋体" w:hAnsi="Times New Roman"/>
          <w:kern w:val="0"/>
          <w:szCs w:val="20"/>
        </w:rPr>
      </w:sdtEndPr>
      <w:sdtContent>
        <w:p w14:paraId="7EF6600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286742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12604.1</w:t>
      </w:r>
      <w:r>
        <w:rPr>
          <w:rFonts w:hint="eastAsia" w:ascii="宋体" w:hAnsi="Times New Roman"/>
          <w:kern w:val="0"/>
          <w:szCs w:val="20"/>
          <w:lang w:val="en-US" w:eastAsia="zh-CN"/>
        </w:rPr>
        <w:t>-2020</w:t>
      </w:r>
      <w:r>
        <w:rPr>
          <w:rFonts w:hint="eastAsia" w:ascii="宋体" w:hAnsi="Times New Roman"/>
          <w:kern w:val="0"/>
          <w:szCs w:val="20"/>
        </w:rPr>
        <w:t xml:space="preserve"> 无损检测 术语 超声检测</w:t>
      </w:r>
    </w:p>
    <w:p w14:paraId="1B23FC1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23905</w:t>
      </w:r>
      <w:r>
        <w:rPr>
          <w:rFonts w:hint="eastAsia" w:ascii="宋体" w:hAnsi="Times New Roman"/>
          <w:kern w:val="0"/>
          <w:szCs w:val="20"/>
          <w:lang w:val="en-US" w:eastAsia="zh-CN"/>
        </w:rPr>
        <w:t>-2009</w:t>
      </w:r>
      <w:r>
        <w:rPr>
          <w:rFonts w:hint="eastAsia" w:ascii="宋体" w:hAnsi="Times New Roman"/>
          <w:kern w:val="0"/>
          <w:szCs w:val="20"/>
        </w:rPr>
        <w:t xml:space="preserve"> 无损检测 超声检测用试块</w:t>
      </w:r>
    </w:p>
    <w:p w14:paraId="4E8B40C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32563-2016 无损检测 超声检测 相控阵超声检测方法</w:t>
      </w:r>
    </w:p>
    <w:p w14:paraId="4F41934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JB/T 11731</w:t>
      </w:r>
      <w:r>
        <w:rPr>
          <w:rFonts w:hint="eastAsia" w:ascii="宋体" w:hAnsi="Times New Roman"/>
          <w:kern w:val="0"/>
          <w:szCs w:val="20"/>
          <w:lang w:val="en-US" w:eastAsia="zh-CN"/>
        </w:rPr>
        <w:t>-2013</w:t>
      </w:r>
      <w:r>
        <w:rPr>
          <w:rFonts w:hint="eastAsia" w:ascii="宋体" w:hAnsi="Times New Roman"/>
          <w:kern w:val="0"/>
          <w:szCs w:val="20"/>
        </w:rPr>
        <w:t xml:space="preserve"> 无损检测 超声相控阵探头通用技术条件</w:t>
      </w:r>
    </w:p>
    <w:p w14:paraId="21BCA58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NB/T 47013.3</w:t>
      </w:r>
      <w:r>
        <w:rPr>
          <w:rFonts w:hint="eastAsia" w:ascii="宋体" w:hAnsi="Times New Roman"/>
          <w:kern w:val="0"/>
          <w:szCs w:val="20"/>
          <w:lang w:val="en-US" w:eastAsia="zh-CN"/>
        </w:rPr>
        <w:t>-2023</w:t>
      </w:r>
      <w:r>
        <w:rPr>
          <w:rFonts w:hint="eastAsia" w:ascii="宋体" w:hAnsi="Times New Roman"/>
          <w:kern w:val="0"/>
          <w:szCs w:val="20"/>
        </w:rPr>
        <w:t xml:space="preserve"> 承压设备无损检测 第3部分：超声检测</w:t>
      </w:r>
    </w:p>
    <w:p w14:paraId="5D25DFA3">
      <w:pPr>
        <w:pStyle w:val="78"/>
        <w:spacing w:before="156" w:after="156"/>
      </w:pPr>
      <w:bookmarkStart w:id="169" w:name="_Toc128401698"/>
      <w:r>
        <w:rPr>
          <w:rFonts w:hint="eastAsia"/>
        </w:rPr>
        <w:t>术语和定义</w:t>
      </w:r>
      <w:bookmarkEnd w:id="169"/>
    </w:p>
    <w:sdt>
      <w:sdtPr>
        <w:rPr>
          <w:rFonts w:ascii="宋体" w:hAnsi="Times New Roman"/>
          <w:kern w:val="0"/>
          <w:szCs w:val="20"/>
        </w:rPr>
        <w:id w:val="949826924"/>
        <w:placeholder>
          <w:docPart w:val="0510428F232142C5834868D3E58D9091"/>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宋体" w:hAnsi="Times New Roman"/>
          <w:kern w:val="0"/>
          <w:szCs w:val="20"/>
        </w:rPr>
      </w:sdtEndPr>
      <w:sdtContent>
        <w:p w14:paraId="11015CA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GB/T 9445、GB/T 12604.1及GB/T 32563-2016</w:t>
          </w:r>
          <w:r>
            <w:rPr>
              <w:rFonts w:ascii="宋体" w:hAnsi="Times New Roman"/>
              <w:kern w:val="0"/>
              <w:szCs w:val="20"/>
            </w:rPr>
            <w:t>界定的以及下列术语和定义适用于本文件。</w:t>
          </w:r>
        </w:p>
      </w:sdtContent>
    </w:sdt>
    <w:p w14:paraId="7C4BACAE">
      <w:pPr>
        <w:pStyle w:val="79"/>
        <w:spacing w:before="156" w:after="156"/>
        <w:ind w:left="0"/>
      </w:pPr>
    </w:p>
    <w:p w14:paraId="7E2C9CBF">
      <w:pPr>
        <w:pStyle w:val="56"/>
        <w:ind w:firstLine="420"/>
      </w:pPr>
      <w:r>
        <w:rPr>
          <w:rFonts w:hint="eastAsia" w:ascii="黑体" w:hAnsi="黑体" w:eastAsia="黑体"/>
        </w:rPr>
        <w:t>晶片间距 pitch</w:t>
      </w:r>
    </w:p>
    <w:p w14:paraId="1086503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两个相邻晶片的同侧边或者中心之间的距离（见图E.1）。</w:t>
      </w:r>
    </w:p>
    <w:p w14:paraId="0BC0E996">
      <w:pPr>
        <w:pStyle w:val="79"/>
        <w:spacing w:before="156" w:after="156"/>
        <w:ind w:left="0"/>
      </w:pPr>
    </w:p>
    <w:p w14:paraId="02CDE687">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 xml:space="preserve">晶片间隙 </w:t>
      </w:r>
      <w:r>
        <w:rPr>
          <w:rFonts w:ascii="黑体" w:hAnsi="黑体" w:eastAsia="黑体"/>
        </w:rPr>
        <w:t>space between elements , gap between element</w:t>
      </w:r>
    </w:p>
    <w:p w14:paraId="3011840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两个相邻晶片的空隙（见图E.1）。</w:t>
      </w:r>
    </w:p>
    <w:p w14:paraId="2B023F0F">
      <w:pPr>
        <w:pStyle w:val="79"/>
        <w:spacing w:before="156" w:after="156"/>
        <w:ind w:left="0"/>
      </w:pPr>
    </w:p>
    <w:p w14:paraId="1039F65F">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 xml:space="preserve">晶片数量 </w:t>
      </w:r>
      <w:r>
        <w:rPr>
          <w:rFonts w:ascii="黑体" w:hAnsi="黑体" w:eastAsia="黑体"/>
        </w:rPr>
        <w:t>number of elements</w:t>
      </w:r>
    </w:p>
    <w:p w14:paraId="1AAD5EC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相控阵探头所包含的阵列晶片数量（见图E.1）。</w:t>
      </w:r>
    </w:p>
    <w:p w14:paraId="0819979E">
      <w:pPr>
        <w:pStyle w:val="79"/>
        <w:spacing w:before="156" w:after="156"/>
        <w:ind w:left="0"/>
      </w:pPr>
    </w:p>
    <w:p w14:paraId="58DA3907">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 xml:space="preserve">晶片大小 </w:t>
      </w:r>
      <w:r>
        <w:rPr>
          <w:rFonts w:ascii="黑体" w:hAnsi="黑体" w:eastAsia="黑体"/>
        </w:rPr>
        <w:t>size of elements</w:t>
      </w:r>
    </w:p>
    <w:p w14:paraId="46CA96F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一个阵列晶片的长度和宽度尺寸大小（见图E.1）。</w:t>
      </w:r>
    </w:p>
    <w:p w14:paraId="650E37E7">
      <w:pPr>
        <w:widowControl/>
        <w:autoSpaceDE w:val="0"/>
        <w:autoSpaceDN w:val="0"/>
        <w:adjustRightInd/>
        <w:spacing w:line="240" w:lineRule="auto"/>
        <w:ind w:firstLine="420" w:firstLineChars="200"/>
        <w:jc w:val="center"/>
        <w:rPr>
          <w:rFonts w:ascii="宋体" w:hAnsi="Times New Roman"/>
          <w:kern w:val="0"/>
          <w:szCs w:val="20"/>
        </w:rPr>
      </w:pPr>
      <w:r>
        <w:rPr>
          <w:rFonts w:ascii="宋体" w:hAnsi="Times New Roman"/>
          <w:kern w:val="0"/>
          <w:szCs w:val="20"/>
        </w:rPr>
        <w:drawing>
          <wp:inline distT="0" distB="0" distL="0" distR="0">
            <wp:extent cx="2884805" cy="19646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84805" cy="1964690"/>
                    </a:xfrm>
                    <a:prstGeom prst="rect">
                      <a:avLst/>
                    </a:prstGeom>
                    <a:noFill/>
                    <a:ln>
                      <a:noFill/>
                    </a:ln>
                  </pic:spPr>
                </pic:pic>
              </a:graphicData>
            </a:graphic>
          </wp:inline>
        </w:drawing>
      </w:r>
    </w:p>
    <w:p w14:paraId="6D837F44">
      <w:pPr>
        <w:widowControl/>
        <w:autoSpaceDE w:val="0"/>
        <w:autoSpaceDN w:val="0"/>
        <w:adjustRightInd/>
        <w:spacing w:line="240" w:lineRule="auto"/>
        <w:ind w:firstLine="420" w:firstLineChars="200"/>
        <w:jc w:val="left"/>
        <w:rPr>
          <w:rFonts w:ascii="宋体" w:hAnsi="Times New Roman"/>
          <w:kern w:val="0"/>
          <w:szCs w:val="20"/>
        </w:rPr>
      </w:pPr>
      <w:r>
        <w:rPr>
          <w:rFonts w:hint="eastAsia" w:ascii="宋体" w:hAnsi="Times New Roman"/>
          <w:kern w:val="0"/>
          <w:szCs w:val="20"/>
        </w:rPr>
        <w:t>说明：</w:t>
      </w:r>
    </w:p>
    <w:p w14:paraId="68B6588D">
      <w:pPr>
        <w:widowControl/>
        <w:autoSpaceDE w:val="0"/>
        <w:autoSpaceDN w:val="0"/>
        <w:adjustRightInd/>
        <w:spacing w:line="240" w:lineRule="auto"/>
        <w:ind w:firstLine="420" w:firstLineChars="200"/>
        <w:jc w:val="left"/>
        <w:rPr>
          <w:rFonts w:ascii="宋体" w:hAnsi="Times New Roman"/>
          <w:kern w:val="0"/>
          <w:szCs w:val="20"/>
        </w:rPr>
      </w:pPr>
      <w:r>
        <w:rPr>
          <w:rFonts w:hint="eastAsia" w:ascii="宋体" w:hAnsi="Times New Roman"/>
          <w:kern w:val="0"/>
          <w:szCs w:val="20"/>
        </w:rPr>
        <w:t>C—晶片间距；d—晶片间隙；n—晶片数量；w—晶片宽度；l—晶片长度</w:t>
      </w:r>
    </w:p>
    <w:p w14:paraId="366FF503">
      <w:pPr>
        <w:pStyle w:val="83"/>
        <w:spacing w:before="156" w:after="156"/>
      </w:pPr>
      <w:r>
        <w:rPr>
          <w:rFonts w:hint="eastAsia"/>
        </w:rPr>
        <w:t>线性阵列相控阵探头参数</w:t>
      </w:r>
    </w:p>
    <w:p w14:paraId="00173B20">
      <w:pPr>
        <w:pStyle w:val="79"/>
        <w:spacing w:before="156" w:after="156"/>
        <w:ind w:left="0"/>
      </w:pPr>
    </w:p>
    <w:p w14:paraId="1643F599">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 xml:space="preserve">相控阵全聚焦算法 </w:t>
      </w:r>
      <w:r>
        <w:rPr>
          <w:rFonts w:ascii="黑体" w:hAnsi="黑体" w:eastAsia="黑体"/>
        </w:rPr>
        <w:t>total focusing method</w:t>
      </w:r>
    </w:p>
    <w:p w14:paraId="4831A03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相控阵全聚焦算法是基于全矩阵数据采集为基础的成像算法，可最大化地利用超声相控阵阵列缺陷回波中所包含的数据信息，实现高精度大范围的成像检测，能够通过对数据集的后处理聚焦到成像区域的每一个点，具有较高的精度。</w:t>
      </w:r>
    </w:p>
    <w:p w14:paraId="32DB1C03">
      <w:pPr>
        <w:pStyle w:val="79"/>
        <w:spacing w:before="156" w:after="156"/>
        <w:ind w:left="0"/>
      </w:pPr>
    </w:p>
    <w:p w14:paraId="1ACE66CC">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相控阵超声检测 phased array ultrasonic testing</w:t>
      </w:r>
    </w:p>
    <w:p w14:paraId="7B4A736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根据设定的延迟法则激发阵列探头各独立压电晶片(阵元)，合成声束并实现声束的移动、偏转和聚焦等功能，再按--定的延迟法则对各阵元接收到的超声信号进行处理并以图像的方式显示被检对象内部状态的超声检测方法。</w:t>
      </w:r>
    </w:p>
    <w:p w14:paraId="723B1C33">
      <w:pPr>
        <w:pStyle w:val="79"/>
        <w:spacing w:before="156" w:after="156"/>
        <w:ind w:left="0"/>
      </w:pPr>
    </w:p>
    <w:p w14:paraId="60B5B741">
      <w:pPr>
        <w:widowControl/>
        <w:autoSpaceDE w:val="0"/>
        <w:autoSpaceDN w:val="0"/>
        <w:adjustRightInd/>
        <w:spacing w:line="240" w:lineRule="auto"/>
        <w:ind w:firstLine="420" w:firstLineChars="200"/>
      </w:pPr>
      <w:r>
        <w:rPr>
          <w:rFonts w:hint="eastAsia" w:ascii="黑体" w:hAnsi="黑体" w:eastAsia="黑体"/>
        </w:rPr>
        <w:t xml:space="preserve">编码激励 </w:t>
      </w:r>
      <w:r>
        <w:rPr>
          <w:rFonts w:ascii="黑体" w:hAnsi="黑体" w:eastAsia="黑体"/>
        </w:rPr>
        <w:t>coded excitation</w:t>
      </w:r>
    </w:p>
    <w:p w14:paraId="364413A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在超声检测的发射端使用编码技术生成脉冲信号激励超声换能器，必要时对信号进行调制，用长串的脉冲激励信号代替单脉冲激励。</w:t>
      </w:r>
    </w:p>
    <w:p w14:paraId="6CB2BBBE">
      <w:pPr>
        <w:pStyle w:val="79"/>
        <w:spacing w:before="156" w:after="156"/>
        <w:ind w:left="0"/>
      </w:pPr>
    </w:p>
    <w:p w14:paraId="1FD94C34">
      <w:pPr>
        <w:widowControl/>
        <w:autoSpaceDE w:val="0"/>
        <w:autoSpaceDN w:val="0"/>
        <w:adjustRightInd/>
        <w:spacing w:line="240" w:lineRule="auto"/>
        <w:ind w:firstLine="420" w:firstLineChars="200"/>
        <w:rPr>
          <w:rFonts w:hint="eastAsia" w:ascii="黑体" w:hAnsi="黑体" w:eastAsia="黑体"/>
        </w:rPr>
      </w:pPr>
      <w:r>
        <w:rPr>
          <w:rFonts w:hint="eastAsia" w:ascii="黑体" w:hAnsi="黑体" w:eastAsia="黑体"/>
        </w:rPr>
        <w:t xml:space="preserve">机械扫查 </w:t>
      </w:r>
      <w:r>
        <w:rPr>
          <w:rFonts w:ascii="黑体" w:hAnsi="黑体" w:eastAsia="黑体"/>
        </w:rPr>
        <w:t>mechanical scan</w:t>
      </w:r>
    </w:p>
    <w:p w14:paraId="6E4D3B2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以机械方式实现对工件的扫查，即通过移动探头实现波束的移动，使之扫过工件中被检测区域。可分为纵向扫查、横向扫查等方式。</w:t>
      </w:r>
    </w:p>
    <w:p w14:paraId="23E4612D">
      <w:pPr>
        <w:pStyle w:val="79"/>
        <w:spacing w:before="156" w:after="156"/>
        <w:ind w:left="0"/>
      </w:pPr>
    </w:p>
    <w:p w14:paraId="0B70D2CB">
      <w:pPr>
        <w:widowControl/>
        <w:autoSpaceDE w:val="0"/>
        <w:autoSpaceDN w:val="0"/>
        <w:adjustRightInd/>
        <w:spacing w:line="240" w:lineRule="auto"/>
        <w:ind w:firstLine="420" w:firstLineChars="200"/>
        <w:rPr>
          <w:rFonts w:hint="eastAsia" w:ascii="黑体" w:hAnsi="黑体" w:eastAsia="黑体"/>
        </w:rPr>
      </w:pPr>
      <w:r>
        <w:rPr>
          <w:rFonts w:hint="eastAsia" w:ascii="黑体" w:hAnsi="黑体" w:eastAsia="黑体"/>
        </w:rPr>
        <w:t xml:space="preserve">时间增益补偿 </w:t>
      </w:r>
      <w:r>
        <w:rPr>
          <w:rFonts w:ascii="黑体" w:hAnsi="黑体" w:eastAsia="黑体"/>
        </w:rPr>
        <w:t>time corrected gain</w:t>
      </w:r>
    </w:p>
    <w:p w14:paraId="0253684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对各个声程处的相同尺寸反射体的回波进行增益修正，使之达到相同幅值。</w:t>
      </w:r>
    </w:p>
    <w:p w14:paraId="54D3230F">
      <w:pPr>
        <w:pStyle w:val="79"/>
        <w:spacing w:before="156" w:after="156"/>
        <w:ind w:left="0"/>
      </w:pPr>
    </w:p>
    <w:p w14:paraId="42F4DF0D">
      <w:pPr>
        <w:widowControl/>
        <w:autoSpaceDE w:val="0"/>
        <w:autoSpaceDN w:val="0"/>
        <w:adjustRightInd/>
        <w:spacing w:line="240" w:lineRule="auto"/>
        <w:ind w:firstLine="420" w:firstLineChars="200"/>
        <w:rPr>
          <w:rFonts w:hint="eastAsia" w:ascii="黑体" w:hAnsi="黑体" w:eastAsia="黑体"/>
        </w:rPr>
      </w:pPr>
      <w:r>
        <w:rPr>
          <w:rFonts w:hint="eastAsia" w:ascii="黑体" w:hAnsi="黑体" w:eastAsia="黑体"/>
        </w:rPr>
        <w:t xml:space="preserve">巴克码 </w:t>
      </w:r>
      <w:r>
        <w:rPr>
          <w:rFonts w:ascii="黑体" w:hAnsi="黑体" w:eastAsia="黑体"/>
        </w:rPr>
        <w:t>barker code</w:t>
      </w:r>
    </w:p>
    <w:p w14:paraId="471DD61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巴克码是一种具有特殊规律的非周期性二相编码方式。</w:t>
      </w:r>
    </w:p>
    <w:p w14:paraId="5EAAADBB">
      <w:pPr>
        <w:pStyle w:val="79"/>
        <w:spacing w:before="156" w:after="156"/>
        <w:ind w:left="0"/>
      </w:pPr>
    </w:p>
    <w:p w14:paraId="54D7D16C">
      <w:pPr>
        <w:widowControl/>
        <w:autoSpaceDE w:val="0"/>
        <w:autoSpaceDN w:val="0"/>
        <w:adjustRightInd/>
        <w:spacing w:line="240" w:lineRule="auto"/>
        <w:ind w:firstLine="420" w:firstLineChars="200"/>
        <w:rPr>
          <w:rFonts w:hint="eastAsia" w:ascii="黑体" w:hAnsi="黑体" w:eastAsia="黑体"/>
        </w:rPr>
      </w:pPr>
      <w:r>
        <w:rPr>
          <w:rFonts w:hint="eastAsia" w:ascii="黑体" w:hAnsi="黑体" w:eastAsia="黑体"/>
        </w:rPr>
        <w:t xml:space="preserve">线性调频 </w:t>
      </w:r>
      <w:r>
        <w:rPr>
          <w:rFonts w:ascii="黑体" w:hAnsi="黑体" w:eastAsia="黑体"/>
        </w:rPr>
        <w:t>linear frequency modulation</w:t>
      </w:r>
    </w:p>
    <w:p w14:paraId="768A0B0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对激励的超声波形信号进行线性频率调制。</w:t>
      </w:r>
    </w:p>
    <w:p w14:paraId="28D6E45D">
      <w:pPr>
        <w:pStyle w:val="78"/>
        <w:spacing w:before="156" w:after="156"/>
      </w:pPr>
      <w:bookmarkStart w:id="170" w:name="_Toc128401699"/>
      <w:r>
        <w:rPr>
          <w:rFonts w:hint="eastAsia"/>
        </w:rPr>
        <w:t>方法概要</w:t>
      </w:r>
      <w:bookmarkEnd w:id="170"/>
    </w:p>
    <w:p w14:paraId="57039A5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为最终形成适用于复杂形状碳纤维复合材料构件的相控阵超声成像检测关键技术，提升缺陷检出能力，成像效果和定量精度。本附录拟定了基于时间反演的相控阵超声检测规程。本附录制定的基于时间反演的相控阵超声检测系统其整体结构示意如</w:t>
      </w:r>
      <w:r>
        <w:rPr>
          <w:rFonts w:hint="eastAsia" w:ascii="宋体" w:hAnsi="Times New Roman"/>
          <w:kern w:val="0"/>
          <w:szCs w:val="20"/>
          <w:highlight w:val="yellow"/>
        </w:rPr>
        <w:t>图E.2</w:t>
      </w:r>
      <w:r>
        <w:rPr>
          <w:rFonts w:hint="eastAsia" w:ascii="宋体" w:hAnsi="Times New Roman"/>
          <w:kern w:val="0"/>
          <w:szCs w:val="20"/>
        </w:rPr>
        <w:t>所示，该检测系统主要由超声相控阵系统、运动控制系统和机械扫查系统三部分组成。检测时，首先将相控阵超声探头放置于待检气瓶碳纤维复合材料缠绕层表面。然后启动基于时间反演的相控阵超声检测系统获得碳纤维缠绕层的检测图像，最后控制系统控制机械扫查系统带动待检气瓶旋转和平移来获得待检气瓶碳纤维缠绕层的全部检测图像。</w:t>
      </w:r>
    </w:p>
    <w:p w14:paraId="40445A7D">
      <w:pPr>
        <w:widowControl/>
        <w:autoSpaceDE w:val="0"/>
        <w:autoSpaceDN w:val="0"/>
        <w:adjustRightInd/>
        <w:spacing w:line="240" w:lineRule="auto"/>
        <w:jc w:val="center"/>
        <w:rPr>
          <w:rFonts w:ascii="宋体" w:hAnsi="Times New Roman"/>
          <w:kern w:val="0"/>
          <w:szCs w:val="20"/>
        </w:rPr>
      </w:pPr>
      <w:r>
        <w:rPr>
          <w:rFonts w:ascii="Times New Roman" w:hAnsi="Times New Roman"/>
          <w:kern w:val="0"/>
          <w:szCs w:val="20"/>
        </w:rPr>
        <w:drawing>
          <wp:inline distT="0" distB="0" distL="0" distR="0">
            <wp:extent cx="3244215" cy="21932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244215" cy="2193290"/>
                    </a:xfrm>
                    <a:prstGeom prst="rect">
                      <a:avLst/>
                    </a:prstGeom>
                    <a:noFill/>
                    <a:ln>
                      <a:noFill/>
                    </a:ln>
                  </pic:spPr>
                </pic:pic>
              </a:graphicData>
            </a:graphic>
          </wp:inline>
        </w:drawing>
      </w:r>
    </w:p>
    <w:p w14:paraId="19503C50">
      <w:pPr>
        <w:pStyle w:val="83"/>
        <w:spacing w:before="156" w:after="156"/>
      </w:pPr>
      <w:r>
        <w:rPr>
          <w:rFonts w:hint="eastAsia"/>
        </w:rPr>
        <w:t>自动化相控阵车载复合材料高压储氢气瓶超声成像检测系统</w:t>
      </w:r>
    </w:p>
    <w:p w14:paraId="362686CE">
      <w:pPr>
        <w:pStyle w:val="79"/>
        <w:spacing w:before="156" w:after="156"/>
        <w:ind w:left="0"/>
      </w:pPr>
      <w:bookmarkStart w:id="171" w:name="_Toc128401700"/>
      <w:r>
        <w:rPr>
          <w:rFonts w:hint="eastAsia"/>
        </w:rPr>
        <w:t>超声激励方法</w:t>
      </w:r>
      <w:bookmarkEnd w:id="171"/>
    </w:p>
    <w:p w14:paraId="7F0E5A15">
      <w:pPr>
        <w:pStyle w:val="213"/>
        <w:ind w:left="0"/>
      </w:pPr>
      <w:r>
        <w:rPr>
          <w:rFonts w:hint="eastAsia"/>
        </w:rPr>
        <w:t>对于储氢气瓶碳纤维层相控阵超声检测的超声激励方法，应选择编码激励的方式，如</w:t>
      </w:r>
      <w:r>
        <w:rPr>
          <w:rFonts w:hint="eastAsia"/>
          <w:kern w:val="0"/>
          <w:highlight w:val="yellow"/>
        </w:rPr>
        <w:t>图E.</w:t>
      </w:r>
      <w:r>
        <w:rPr>
          <w:rFonts w:hint="eastAsia"/>
          <w:kern w:val="0"/>
        </w:rPr>
        <w:t>3</w:t>
      </w:r>
      <w:r>
        <w:rPr>
          <w:rFonts w:hint="eastAsia"/>
        </w:rPr>
        <w:t>所示。</w:t>
      </w:r>
    </w:p>
    <w:p w14:paraId="64A2E23F">
      <w:pPr>
        <w:widowControl/>
        <w:autoSpaceDE w:val="0"/>
        <w:autoSpaceDN w:val="0"/>
        <w:adjustRightInd/>
        <w:spacing w:line="240" w:lineRule="auto"/>
        <w:jc w:val="center"/>
        <w:rPr>
          <w:rFonts w:ascii="宋体" w:hAnsi="Times New Roman"/>
          <w:kern w:val="0"/>
          <w:szCs w:val="20"/>
        </w:rPr>
      </w:pPr>
      <w:r>
        <w:rPr>
          <w:rFonts w:ascii="宋体" w:hAnsi="Times New Roman"/>
          <w:kern w:val="0"/>
          <w:szCs w:val="20"/>
        </w:rPr>
        <w:drawing>
          <wp:inline distT="0" distB="0" distL="0" distR="0">
            <wp:extent cx="2951480" cy="2371090"/>
            <wp:effectExtent l="0" t="0" r="127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52000" cy="2371404"/>
                    </a:xfrm>
                    <a:prstGeom prst="rect">
                      <a:avLst/>
                    </a:prstGeom>
                    <a:noFill/>
                    <a:ln>
                      <a:noFill/>
                    </a:ln>
                  </pic:spPr>
                </pic:pic>
              </a:graphicData>
            </a:graphic>
          </wp:inline>
        </w:drawing>
      </w:r>
    </w:p>
    <w:p w14:paraId="57CE6639">
      <w:pPr>
        <w:pStyle w:val="83"/>
        <w:spacing w:before="156" w:after="156"/>
      </w:pPr>
      <w:r>
        <w:rPr>
          <w:rFonts w:hint="eastAsia"/>
        </w:rPr>
        <w:t>编码激励方法</w:t>
      </w:r>
    </w:p>
    <w:p w14:paraId="243482A8">
      <w:pPr>
        <w:pStyle w:val="213"/>
        <w:ind w:left="0"/>
      </w:pPr>
      <w:r>
        <w:rPr>
          <w:rFonts w:hint="eastAsia"/>
        </w:rPr>
        <w:t>在检测的触发端，激励波形应选择复合编码的调制波形，具体为巴克码加线性调频的复合编码波形，其中巴克码的码长选择为13位，线性调频的中心频率选择为相控阵探头的频率，调频宽度范围为0.67-1.33MHz。</w:t>
      </w:r>
    </w:p>
    <w:p w14:paraId="0D853ABB">
      <w:pPr>
        <w:pStyle w:val="213"/>
        <w:ind w:left="0"/>
      </w:pPr>
      <w:r>
        <w:rPr>
          <w:rFonts w:hint="eastAsia"/>
        </w:rPr>
        <w:t>在复合编码激励波形的基础上，可选择布莱克曼窗函数对波形进一步调制，最终的复合编码激励波形如</w:t>
      </w:r>
      <w:r>
        <w:rPr>
          <w:rFonts w:hint="eastAsia"/>
          <w:kern w:val="0"/>
          <w:highlight w:val="yellow"/>
        </w:rPr>
        <w:t>图E.</w:t>
      </w:r>
      <w:r>
        <w:rPr>
          <w:rFonts w:hint="eastAsia"/>
          <w:kern w:val="0"/>
        </w:rPr>
        <w:t>4</w:t>
      </w:r>
      <w:r>
        <w:rPr>
          <w:rFonts w:hint="eastAsia"/>
        </w:rPr>
        <w:t>所示。</w:t>
      </w:r>
    </w:p>
    <w:p w14:paraId="4B2AC74A">
      <w:pPr>
        <w:adjustRightInd/>
        <w:spacing w:line="240" w:lineRule="auto"/>
        <w:jc w:val="center"/>
        <w:rPr>
          <w:rFonts w:ascii="宋体" w:hAnsi="Times New Roman"/>
          <w:kern w:val="0"/>
          <w:szCs w:val="20"/>
        </w:rPr>
      </w:pPr>
      <w:r>
        <w:rPr>
          <w:rFonts w:ascii="宋体" w:hAnsi="Times New Roman"/>
          <w:kern w:val="0"/>
          <w:szCs w:val="20"/>
        </w:rPr>
        <w:drawing>
          <wp:inline distT="0" distB="0" distL="0" distR="0">
            <wp:extent cx="2667000" cy="19373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667000" cy="1937385"/>
                    </a:xfrm>
                    <a:prstGeom prst="rect">
                      <a:avLst/>
                    </a:prstGeom>
                    <a:noFill/>
                    <a:ln>
                      <a:noFill/>
                    </a:ln>
                  </pic:spPr>
                </pic:pic>
              </a:graphicData>
            </a:graphic>
          </wp:inline>
        </w:drawing>
      </w:r>
    </w:p>
    <w:p w14:paraId="432C33EE">
      <w:pPr>
        <w:pStyle w:val="83"/>
        <w:spacing w:before="156" w:after="156"/>
      </w:pPr>
      <w:r>
        <w:rPr>
          <w:rFonts w:hint="eastAsia"/>
        </w:rPr>
        <w:t>复合编码激励波形</w:t>
      </w:r>
    </w:p>
    <w:p w14:paraId="11D10755">
      <w:pPr>
        <w:pStyle w:val="213"/>
        <w:ind w:left="0"/>
      </w:pPr>
      <w:r>
        <w:rPr>
          <w:rFonts w:hint="eastAsia"/>
        </w:rPr>
        <w:t>在检测的接收端，应对接收到的回波信号进行脉冲压缩以获得窄脉冲信号，选择匹配滤波器进行接收回波的脉冲压缩，匹配滤波器的相频特性应与输入信号相位共轭匹配。</w:t>
      </w:r>
    </w:p>
    <w:p w14:paraId="1B130180">
      <w:pPr>
        <w:pStyle w:val="79"/>
        <w:spacing w:before="156" w:after="156"/>
        <w:ind w:left="0"/>
      </w:pPr>
      <w:bookmarkStart w:id="172" w:name="_Toc128401701"/>
      <w:r>
        <w:rPr>
          <w:rFonts w:hint="eastAsia"/>
        </w:rPr>
        <w:t>成像方法</w:t>
      </w:r>
      <w:bookmarkEnd w:id="172"/>
    </w:p>
    <w:p w14:paraId="432D592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在成像过程中需要注意超声成像与特征增强问题，将编码技术与全聚焦成像相结合。成像时需要考虑碳纤维复合材料检测图像的去噪与缺陷特征增强处理算法。在Canny算子的二阶总广义全变分检测图像去噪技术基础上，建议使用巴特沃斯滤波器的缺陷特征锐化方法，并进行基于直方图均值化的检测图像对比度增强。</w:t>
      </w:r>
    </w:p>
    <w:p w14:paraId="3DC1015C">
      <w:pPr>
        <w:adjustRightInd/>
        <w:spacing w:line="240" w:lineRule="auto"/>
        <w:jc w:val="center"/>
        <w:rPr>
          <w:rFonts w:ascii="宋体" w:hAnsi="Times New Roman"/>
          <w:kern w:val="0"/>
          <w:szCs w:val="20"/>
        </w:rPr>
      </w:pPr>
      <w:r>
        <w:rPr>
          <w:rFonts w:ascii="宋体" w:hAnsi="Times New Roman"/>
          <w:kern w:val="0"/>
          <w:szCs w:val="20"/>
        </w:rPr>
        <w:drawing>
          <wp:inline distT="0" distB="0" distL="0" distR="0">
            <wp:extent cx="4060190" cy="19646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060190" cy="1964690"/>
                    </a:xfrm>
                    <a:prstGeom prst="rect">
                      <a:avLst/>
                    </a:prstGeom>
                    <a:noFill/>
                    <a:ln>
                      <a:noFill/>
                    </a:ln>
                  </pic:spPr>
                </pic:pic>
              </a:graphicData>
            </a:graphic>
          </wp:inline>
        </w:drawing>
      </w:r>
    </w:p>
    <w:p w14:paraId="305DED01">
      <w:pPr>
        <w:pStyle w:val="83"/>
        <w:spacing w:before="156" w:after="156"/>
      </w:pPr>
      <w:r>
        <w:rPr>
          <w:rFonts w:hint="eastAsia"/>
        </w:rPr>
        <w:t>相控阵全聚焦算法</w:t>
      </w:r>
    </w:p>
    <w:p w14:paraId="1E5A1D40">
      <w:pPr>
        <w:pStyle w:val="79"/>
        <w:spacing w:before="156" w:after="156"/>
        <w:ind w:left="0"/>
      </w:pPr>
      <w:bookmarkStart w:id="173" w:name="_Toc128401702"/>
      <w:r>
        <w:rPr>
          <w:rFonts w:hint="eastAsia"/>
        </w:rPr>
        <w:t>相控阵聚焦方式</w:t>
      </w:r>
      <w:bookmarkEnd w:id="173"/>
    </w:p>
    <w:p w14:paraId="0220EA9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一种特殊的相控阵超声检测技术,其实现方式是逐一-激发阵列探头激发孔径内的单个(或多个)阵元，同时所有阵元(或设定的阵元组)接收，依次遍历激发所有阵元(或阵元组)之后，再根据延迟法则对目标网格化区域内的每一个点进行计算和成像。实现形式一般用FMC(全矩阵采集)。</w:t>
      </w:r>
    </w:p>
    <w:p w14:paraId="43D410CC">
      <w:pPr>
        <w:pStyle w:val="78"/>
        <w:spacing w:before="156" w:after="156"/>
      </w:pPr>
      <w:bookmarkStart w:id="174" w:name="_Toc128401703"/>
      <w:r>
        <w:rPr>
          <w:rFonts w:hint="eastAsia"/>
        </w:rPr>
        <w:t>一般要求</w:t>
      </w:r>
      <w:bookmarkEnd w:id="174"/>
    </w:p>
    <w:p w14:paraId="39954491">
      <w:pPr>
        <w:pStyle w:val="79"/>
        <w:spacing w:before="156" w:after="156"/>
        <w:ind w:left="0"/>
      </w:pPr>
      <w:bookmarkStart w:id="175" w:name="_Toc128401704"/>
      <w:r>
        <w:rPr>
          <w:rFonts w:hint="eastAsia"/>
        </w:rPr>
        <w:t>人员资格</w:t>
      </w:r>
      <w:bookmarkEnd w:id="175"/>
    </w:p>
    <w:p w14:paraId="2E745315">
      <w:pPr>
        <w:pStyle w:val="213"/>
        <w:ind w:left="0"/>
      </w:pPr>
      <w:r>
        <w:rPr>
          <w:rFonts w:hint="eastAsia"/>
        </w:rPr>
        <w:t>从事相控阵检测的人员至少应符合GB/T 9445或等效标准的要求，应通过有关相控阵检测技术的专门培训并取得相应证书。</w:t>
      </w:r>
    </w:p>
    <w:p w14:paraId="3FA40F64">
      <w:pPr>
        <w:pStyle w:val="213"/>
        <w:ind w:left="0"/>
      </w:pPr>
      <w:r>
        <w:rPr>
          <w:rFonts w:hint="eastAsia"/>
        </w:rPr>
        <w:t>相控阵检测人员应熟悉所使用的检测设备。</w:t>
      </w:r>
    </w:p>
    <w:p w14:paraId="13EF431A">
      <w:pPr>
        <w:pStyle w:val="213"/>
        <w:ind w:left="0"/>
      </w:pPr>
      <w:r>
        <w:rPr>
          <w:rFonts w:hint="eastAsia"/>
        </w:rPr>
        <w:t>相控阵检测人员应熟悉编码激励波形的设置流程以及相控阵超声相关成像算法操作流程。</w:t>
      </w:r>
    </w:p>
    <w:p w14:paraId="5CEDF2C4">
      <w:pPr>
        <w:pStyle w:val="213"/>
        <w:ind w:left="0"/>
      </w:pPr>
      <w:r>
        <w:rPr>
          <w:rFonts w:hint="eastAsia"/>
        </w:rPr>
        <w:t>相控阵检测人员应具有实际检测经验并掌握一定的碳纤维复合材料制造加工的基础知识。</w:t>
      </w:r>
    </w:p>
    <w:p w14:paraId="536AFB3F">
      <w:pPr>
        <w:pStyle w:val="79"/>
        <w:spacing w:before="156" w:after="156"/>
        <w:ind w:left="0"/>
      </w:pPr>
      <w:bookmarkStart w:id="176" w:name="_Toc128401706"/>
      <w:r>
        <w:rPr>
          <w:rFonts w:hint="eastAsia"/>
        </w:rPr>
        <w:t>检测设备</w:t>
      </w:r>
      <w:bookmarkEnd w:id="176"/>
    </w:p>
    <w:p w14:paraId="4A3592E7">
      <w:pPr>
        <w:pStyle w:val="213"/>
        <w:ind w:left="0"/>
      </w:pPr>
      <w:r>
        <w:rPr>
          <w:rFonts w:hint="eastAsia"/>
        </w:rPr>
        <w:t>超声相控阵仪器</w:t>
      </w:r>
    </w:p>
    <w:p w14:paraId="5FBF5A62">
      <w:pPr>
        <w:pStyle w:val="214"/>
        <w:ind w:left="0"/>
      </w:pPr>
      <w:r>
        <w:rPr>
          <w:rFonts w:hint="eastAsia"/>
        </w:rPr>
        <w:t>可进行编码激励的全聚焦相控阵超声检测仪。</w:t>
      </w:r>
    </w:p>
    <w:p w14:paraId="04517ACB">
      <w:pPr>
        <w:pStyle w:val="214"/>
        <w:ind w:left="0"/>
      </w:pPr>
      <w:r>
        <w:rPr>
          <w:rFonts w:hint="eastAsia"/>
        </w:rPr>
        <w:t>相控阵仪器应为计算机控制的含有多个独立的脉冲发射/接收通道的脉冲反射型仪器，其放大器的增益调节步进不应大于1dB。</w:t>
      </w:r>
    </w:p>
    <w:p w14:paraId="44E06D2D">
      <w:pPr>
        <w:pStyle w:val="214"/>
        <w:ind w:left="0"/>
      </w:pPr>
      <w:r>
        <w:rPr>
          <w:rFonts w:hint="eastAsia"/>
        </w:rPr>
        <w:t>相控阵仪器应配备与其硬件相匹配的延时控制和成像软件。</w:t>
      </w:r>
    </w:p>
    <w:p w14:paraId="70C9305C">
      <w:pPr>
        <w:pStyle w:val="214"/>
        <w:ind w:left="0"/>
      </w:pPr>
      <w:r>
        <w:rPr>
          <w:rFonts w:hint="eastAsia"/>
        </w:rPr>
        <w:t>-3dB带宽下限不高于1MHz,上限不低于15MHz。</w:t>
      </w:r>
    </w:p>
    <w:p w14:paraId="71513187">
      <w:pPr>
        <w:pStyle w:val="214"/>
        <w:ind w:left="0"/>
      </w:pPr>
      <w:r>
        <w:rPr>
          <w:rFonts w:hint="eastAsia"/>
        </w:rPr>
        <w:t>采样</w:t>
      </w:r>
      <w:bookmarkStart w:id="177" w:name="OLE_LINK5"/>
      <w:r>
        <w:rPr>
          <w:rFonts w:hint="eastAsia"/>
        </w:rPr>
        <w:t>频率不应小于探头中心频率的6倍。</w:t>
      </w:r>
    </w:p>
    <w:p w14:paraId="52E60ED7">
      <w:pPr>
        <w:pStyle w:val="214"/>
        <w:ind w:left="0"/>
      </w:pPr>
      <w:r>
        <w:rPr>
          <w:rFonts w:hint="eastAsia"/>
        </w:rPr>
        <w:t>幅度模数转换位数应不小于8位。</w:t>
      </w:r>
    </w:p>
    <w:p w14:paraId="5ED41F40">
      <w:pPr>
        <w:pStyle w:val="214"/>
        <w:ind w:left="0"/>
      </w:pPr>
      <w:r>
        <w:rPr>
          <w:rFonts w:hint="eastAsia"/>
        </w:rPr>
        <w:t>仪器的水平线性误差不大于1%，垂直线性误差不大于5%。</w:t>
      </w:r>
    </w:p>
    <w:p w14:paraId="0ABFCF97">
      <w:pPr>
        <w:pStyle w:val="214"/>
        <w:ind w:left="0"/>
      </w:pPr>
      <w:r>
        <w:rPr>
          <w:rFonts w:hint="eastAsia"/>
        </w:rPr>
        <w:t>所有激励通道的发射脉冲电压具有一致性，最大偏移量</w:t>
      </w:r>
      <w:bookmarkEnd w:id="177"/>
      <w:r>
        <w:rPr>
          <w:rFonts w:hint="eastAsia"/>
        </w:rPr>
        <w:t>应不大于设置值的5%。</w:t>
      </w:r>
    </w:p>
    <w:p w14:paraId="7B8B9890">
      <w:pPr>
        <w:pStyle w:val="214"/>
        <w:ind w:left="0"/>
      </w:pPr>
      <w:r>
        <w:rPr>
          <w:rFonts w:hint="eastAsia"/>
        </w:rPr>
        <w:t>各通道的发射脉冲延迟精度不大于5ns。</w:t>
      </w:r>
    </w:p>
    <w:p w14:paraId="4FF08B43">
      <w:pPr>
        <w:pStyle w:val="213"/>
        <w:ind w:left="0"/>
      </w:pPr>
      <w:r>
        <w:rPr>
          <w:rFonts w:hint="eastAsia"/>
        </w:rPr>
        <w:t>相控阵探头</w:t>
      </w:r>
    </w:p>
    <w:p w14:paraId="30DE60A9">
      <w:pPr>
        <w:pStyle w:val="214"/>
        <w:ind w:left="0"/>
      </w:pPr>
      <w:r>
        <w:rPr>
          <w:rFonts w:hint="eastAsia"/>
        </w:rPr>
        <w:t>相控阵探头应符合JB/T 11731相关要求。相控阵探头应由多个晶片（一般不少于64个）组成阵列，探头可加装用以辅助声束偏转的楔块或延迟块。</w:t>
      </w:r>
    </w:p>
    <w:p w14:paraId="0646DD27">
      <w:pPr>
        <w:pStyle w:val="214"/>
        <w:ind w:left="0"/>
      </w:pPr>
      <w:r>
        <w:rPr>
          <w:rFonts w:hint="eastAsia"/>
        </w:rPr>
        <w:t>探头实测中心频率与标称频率间的误差应不大于10%。</w:t>
      </w:r>
    </w:p>
    <w:p w14:paraId="37EB9B9C">
      <w:pPr>
        <w:pStyle w:val="214"/>
        <w:ind w:left="0"/>
      </w:pPr>
      <w:r>
        <w:rPr>
          <w:rFonts w:hint="eastAsia"/>
        </w:rPr>
        <w:t>探头-6dB相对频带宽度不小于55%。</w:t>
      </w:r>
    </w:p>
    <w:p w14:paraId="68EA2CE4">
      <w:pPr>
        <w:pStyle w:val="214"/>
        <w:ind w:left="0"/>
      </w:pPr>
      <w:r>
        <w:rPr>
          <w:rFonts w:hint="eastAsia"/>
        </w:rPr>
        <w:t>采购验收相控阵探头时，同一探头晶片间灵敏度最大差值不大于4dB,且不应存在坏晶片。</w:t>
      </w:r>
    </w:p>
    <w:p w14:paraId="6228DCE8">
      <w:pPr>
        <w:pStyle w:val="214"/>
        <w:ind w:left="0"/>
      </w:pPr>
      <w:r>
        <w:rPr>
          <w:rFonts w:hint="eastAsia"/>
        </w:rPr>
        <w:t>使用中的相控阵探头如出现坏晶片，可在选择激发孔径范围时设法避开坏晶片；如无法避开，要求在扫查使用的每个声束组中，损坏晶片不应超过总使用晶片数的12.5%，且没有连续损坏晶片；如果晶片的损坏超过上述规定，可通过仿真软件计算且通过试块测试，确认坏晶片对声场和检测灵敏度、信噪比无明显不利影响，才允许使用。</w:t>
      </w:r>
    </w:p>
    <w:p w14:paraId="0E1D337E">
      <w:pPr>
        <w:pStyle w:val="214"/>
        <w:ind w:left="0"/>
      </w:pPr>
      <w:r>
        <w:rPr>
          <w:rFonts w:hint="eastAsia"/>
        </w:rPr>
        <w:t>仪器和探头组合性能</w:t>
      </w:r>
    </w:p>
    <w:p w14:paraId="5B50C3B7">
      <w:pPr>
        <w:pStyle w:val="214"/>
        <w:numPr>
          <w:ilvl w:val="0"/>
          <w:numId w:val="0"/>
        </w:numPr>
      </w:pPr>
      <w:r>
        <w:rPr>
          <w:rFonts w:hint="eastAsia"/>
        </w:rPr>
        <w:t>以下情况应测定仪器和探头的组合性能</w:t>
      </w:r>
    </w:p>
    <w:p w14:paraId="447130A7">
      <w:pPr>
        <w:pStyle w:val="174"/>
        <w:numPr>
          <w:ilvl w:val="0"/>
          <w:numId w:val="70"/>
        </w:numPr>
      </w:pPr>
      <w:r>
        <w:rPr>
          <w:rFonts w:hint="eastAsia"/>
        </w:rPr>
        <w:t>新购置的全聚焦相控阵超声检测仪器和（或）探头；</w:t>
      </w:r>
    </w:p>
    <w:p w14:paraId="45644318">
      <w:pPr>
        <w:pStyle w:val="174"/>
      </w:pPr>
      <w:r>
        <w:rPr>
          <w:rFonts w:hint="eastAsia"/>
        </w:rPr>
        <w:t>仪器和探头在维修或更换主要部件后；</w:t>
      </w:r>
    </w:p>
    <w:p w14:paraId="52D5CED4">
      <w:pPr>
        <w:pStyle w:val="174"/>
      </w:pPr>
      <w:r>
        <w:rPr>
          <w:rFonts w:hint="eastAsia"/>
        </w:rPr>
        <w:t>检测人员有怀疑</w:t>
      </w:r>
    </w:p>
    <w:p w14:paraId="226817E7">
      <w:pPr>
        <w:pStyle w:val="78"/>
        <w:spacing w:before="156" w:after="156"/>
      </w:pPr>
      <w:bookmarkStart w:id="178" w:name="_Toc128401707"/>
      <w:r>
        <w:rPr>
          <w:rFonts w:hint="eastAsia"/>
        </w:rPr>
        <w:t>检测步骤</w:t>
      </w:r>
      <w:bookmarkEnd w:id="178"/>
    </w:p>
    <w:p w14:paraId="0E69BEFB">
      <w:pPr>
        <w:pStyle w:val="79"/>
        <w:spacing w:before="156" w:after="156"/>
        <w:ind w:left="0"/>
      </w:pPr>
      <w:bookmarkStart w:id="179" w:name="_Toc128401708"/>
      <w:r>
        <w:rPr>
          <w:rFonts w:hint="eastAsia"/>
        </w:rPr>
        <w:t>检测准备</w:t>
      </w:r>
      <w:bookmarkEnd w:id="179"/>
    </w:p>
    <w:p w14:paraId="02244101">
      <w:pPr>
        <w:pStyle w:val="213"/>
        <w:ind w:left="0"/>
      </w:pPr>
      <w:r>
        <w:rPr>
          <w:rFonts w:hint="eastAsia"/>
        </w:rPr>
        <w:t>激发波形</w:t>
      </w:r>
    </w:p>
    <w:p w14:paraId="3B3C0487">
      <w:pPr>
        <w:pStyle w:val="213"/>
        <w:numPr>
          <w:ilvl w:val="0"/>
          <w:numId w:val="0"/>
        </w:numPr>
      </w:pPr>
      <w:r>
        <w:rPr>
          <w:rFonts w:hint="eastAsia"/>
        </w:rPr>
        <w:t>采用13位巴克码调制的正弦脉冲波形。</w:t>
      </w:r>
    </w:p>
    <w:p w14:paraId="09D0504B">
      <w:pPr>
        <w:pStyle w:val="213"/>
        <w:ind w:left="0"/>
      </w:pPr>
      <w:r>
        <w:rPr>
          <w:rFonts w:hint="eastAsia"/>
        </w:rPr>
        <w:t>编码激励</w:t>
      </w:r>
    </w:p>
    <w:p w14:paraId="3464116D">
      <w:pPr>
        <w:pStyle w:val="213"/>
        <w:numPr>
          <w:ilvl w:val="0"/>
          <w:numId w:val="0"/>
        </w:numPr>
      </w:pPr>
      <w:r>
        <w:rPr>
          <w:rFonts w:hint="eastAsia"/>
        </w:rPr>
        <w:t>传统的全聚焦超声成像分辨率较高，但是由于波形能量较低，波形能量容易在高声衰减材料被消耗掉，导致回波不明显。基于巴克码的激励，提高了波形能量；同时通过对波形脉冲压缩也提高了超声成像的分辨率，可以产生分辨率高，回波明显的成像。</w:t>
      </w:r>
    </w:p>
    <w:p w14:paraId="317072BB">
      <w:pPr>
        <w:pStyle w:val="213"/>
        <w:ind w:left="0"/>
      </w:pPr>
      <w:r>
        <w:rPr>
          <w:rFonts w:hint="eastAsia"/>
        </w:rPr>
        <w:t>检测区域</w:t>
      </w:r>
    </w:p>
    <w:p w14:paraId="17A50E10">
      <w:pPr>
        <w:widowControl/>
        <w:adjustRightInd/>
        <w:spacing w:line="240" w:lineRule="auto"/>
        <w:ind w:firstLine="420" w:firstLineChars="200"/>
        <w:rPr>
          <w:rFonts w:ascii="宋体" w:hAnsi="Times New Roman"/>
          <w:kern w:val="0"/>
          <w:szCs w:val="20"/>
        </w:rPr>
      </w:pPr>
      <w:r>
        <w:rPr>
          <w:rFonts w:hint="eastAsia" w:ascii="宋体" w:hAnsi="Times New Roman"/>
          <w:kern w:val="0"/>
          <w:szCs w:val="20"/>
        </w:rPr>
        <w:t>储氢气瓶碳纤维层的检测区域包含最里层（内胆层）以外至最外层（玻璃纤维层）以内的中间层。本检测方法主要对三型瓶适用，如需对三层以上储氢气瓶检测需要改善算法。</w:t>
      </w:r>
    </w:p>
    <w:p w14:paraId="321933DC">
      <w:pPr>
        <w:pStyle w:val="213"/>
        <w:ind w:left="0"/>
      </w:pPr>
      <w:r>
        <w:rPr>
          <w:rFonts w:hint="eastAsia"/>
        </w:rPr>
        <w:t>扫查方式选择</w:t>
      </w:r>
    </w:p>
    <w:p w14:paraId="0BE753AB">
      <w:pPr>
        <w:adjustRightInd/>
        <w:spacing w:line="240" w:lineRule="auto"/>
        <w:ind w:firstLine="420" w:firstLineChars="200"/>
        <w:rPr>
          <w:rFonts w:ascii="宋体" w:hAnsi="Times New Roman"/>
          <w:kern w:val="0"/>
          <w:szCs w:val="20"/>
        </w:rPr>
      </w:pPr>
      <w:r>
        <w:rPr>
          <w:rFonts w:hint="eastAsia" w:ascii="宋体" w:hAnsi="Times New Roman"/>
          <w:kern w:val="0"/>
          <w:szCs w:val="20"/>
        </w:rPr>
        <w:t>使用相控阵对储氢瓶进行100%覆盖扫查，相邻扫查线之间的距离应小于探头最大激发孔径，且两次相邻扫查区域应有10%的重叠。</w:t>
      </w:r>
    </w:p>
    <w:p w14:paraId="44818B4E">
      <w:pPr>
        <w:pStyle w:val="213"/>
        <w:ind w:left="0"/>
      </w:pPr>
      <w:r>
        <w:rPr>
          <w:rFonts w:hint="eastAsia"/>
        </w:rPr>
        <w:t>探头及楔块的选择</w:t>
      </w:r>
    </w:p>
    <w:p w14:paraId="38CA146A">
      <w:pPr>
        <w:adjustRightInd/>
        <w:spacing w:line="240" w:lineRule="auto"/>
        <w:ind w:firstLine="420" w:firstLineChars="200"/>
        <w:rPr>
          <w:rFonts w:ascii="宋体" w:hAnsi="Times New Roman"/>
          <w:kern w:val="0"/>
          <w:szCs w:val="20"/>
        </w:rPr>
      </w:pPr>
      <w:r>
        <w:rPr>
          <w:rFonts w:hint="eastAsia" w:ascii="宋体" w:hAnsi="Times New Roman"/>
          <w:kern w:val="0"/>
          <w:szCs w:val="20"/>
        </w:rPr>
        <w:t>根据工件厚度、材质、检测位置、检测面形状以及检测使用的声束类型选择相控阵探头的频率、晶片数量、晶片间距、晶片尺寸、形状以及楔块规格等。使用线阵探头，频率1.25MHz,阵元中心距离1.5mm,阵元长度10mm,探头型号1.25L-1.0*10。</w:t>
      </w:r>
    </w:p>
    <w:p w14:paraId="22B17375">
      <w:pPr>
        <w:pStyle w:val="79"/>
        <w:spacing w:before="156" w:after="156"/>
        <w:ind w:left="0"/>
      </w:pPr>
      <w:bookmarkStart w:id="180" w:name="_Toc128401709"/>
      <w:r>
        <w:rPr>
          <w:rFonts w:hint="eastAsia"/>
        </w:rPr>
        <w:t>激发孔径设置</w:t>
      </w:r>
      <w:bookmarkEnd w:id="180"/>
    </w:p>
    <w:p w14:paraId="0CA70934">
      <w:pPr>
        <w:widowControl/>
        <w:adjustRightInd/>
        <w:spacing w:line="240" w:lineRule="auto"/>
        <w:rPr>
          <w:rFonts w:ascii="宋体" w:hAnsi="Times New Roman"/>
          <w:kern w:val="0"/>
          <w:szCs w:val="20"/>
        </w:rPr>
      </w:pPr>
      <w:r>
        <w:rPr>
          <w:rFonts w:hint="eastAsia" w:ascii="宋体" w:hAnsi="Times New Roman"/>
          <w:kern w:val="0"/>
          <w:szCs w:val="20"/>
        </w:rPr>
        <w:t>无论选择何种扫描方式，可偏转方向上的激发孔径尺寸D与晶片宽度b之比应满足：0.2≤D/b≤5。</w:t>
      </w:r>
    </w:p>
    <w:p w14:paraId="7F18BE1E">
      <w:pPr>
        <w:pStyle w:val="79"/>
        <w:spacing w:before="156" w:after="156"/>
        <w:ind w:left="0"/>
      </w:pPr>
      <w:bookmarkStart w:id="181" w:name="_Toc128401710"/>
      <w:r>
        <w:rPr>
          <w:rFonts w:hint="eastAsia"/>
        </w:rPr>
        <w:t>聚焦设置</w:t>
      </w:r>
      <w:bookmarkEnd w:id="181"/>
    </w:p>
    <w:p w14:paraId="734287D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采用基于全聚焦算法的聚焦设置。</w:t>
      </w:r>
    </w:p>
    <w:p w14:paraId="5A636355">
      <w:pPr>
        <w:pStyle w:val="79"/>
        <w:spacing w:before="156" w:after="156"/>
        <w:ind w:left="0"/>
      </w:pPr>
      <w:bookmarkStart w:id="182" w:name="_Toc128401711"/>
      <w:r>
        <w:rPr>
          <w:rFonts w:hint="eastAsia"/>
        </w:rPr>
        <w:t>扫查面准备</w:t>
      </w:r>
      <w:bookmarkEnd w:id="182"/>
    </w:p>
    <w:p w14:paraId="31E68E5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对储氢气瓶的表面进行清洁去除杂物，如系统无法对储氢罐有效检测，需采用手动添加耦合剂、调整探头方式寻找合适的扫查面。</w:t>
      </w:r>
    </w:p>
    <w:p w14:paraId="74EE9C7A">
      <w:pPr>
        <w:pStyle w:val="79"/>
        <w:spacing w:before="156" w:after="156"/>
        <w:ind w:left="0"/>
      </w:pPr>
      <w:bookmarkStart w:id="183" w:name="_Toc128401712"/>
      <w:r>
        <w:rPr>
          <w:rFonts w:hint="eastAsia"/>
        </w:rPr>
        <w:t>耦合剂</w:t>
      </w:r>
      <w:bookmarkEnd w:id="183"/>
    </w:p>
    <w:p w14:paraId="00F5F979">
      <w:pPr>
        <w:pStyle w:val="213"/>
        <w:ind w:left="0"/>
      </w:pPr>
      <w:r>
        <w:rPr>
          <w:rFonts w:hint="eastAsia"/>
        </w:rPr>
        <w:t>应采用有效且适用于工件的介质作为超声耦合剂。</w:t>
      </w:r>
    </w:p>
    <w:p w14:paraId="777041E3">
      <w:pPr>
        <w:pStyle w:val="213"/>
        <w:ind w:left="0"/>
      </w:pPr>
      <w:r>
        <w:rPr>
          <w:rFonts w:hint="eastAsia"/>
        </w:rPr>
        <w:t>选用的耦合剂应在一定的温度范围内保证稳定可靠的检测。</w:t>
      </w:r>
    </w:p>
    <w:p w14:paraId="289CA4BE">
      <w:pPr>
        <w:pStyle w:val="213"/>
        <w:ind w:left="0"/>
      </w:pPr>
      <w:r>
        <w:rPr>
          <w:rFonts w:hint="eastAsia"/>
        </w:rPr>
        <w:t>实际检测采用的耦合剂应与检测系统设置和校准时的耦合剂相同。</w:t>
      </w:r>
    </w:p>
    <w:p w14:paraId="157FCDF2">
      <w:pPr>
        <w:pStyle w:val="79"/>
        <w:spacing w:before="156" w:after="156"/>
        <w:ind w:left="0"/>
      </w:pPr>
      <w:r>
        <w:rPr>
          <w:rFonts w:hint="eastAsia"/>
        </w:rPr>
        <w:t>检测系统校准与工艺验证</w:t>
      </w:r>
    </w:p>
    <w:p w14:paraId="4646DEEC">
      <w:pPr>
        <w:pStyle w:val="213"/>
        <w:ind w:left="0"/>
      </w:pPr>
      <w:r>
        <w:rPr>
          <w:rFonts w:hint="eastAsia"/>
        </w:rPr>
        <w:t>检测系统校准包括增益校准、时间-增益校准（TGC）；</w:t>
      </w:r>
    </w:p>
    <w:p w14:paraId="2EF731EC">
      <w:pPr>
        <w:pStyle w:val="213"/>
        <w:ind w:left="0"/>
      </w:pPr>
      <w:r>
        <w:rPr>
          <w:rFonts w:hint="eastAsia"/>
        </w:rPr>
        <w:t>信号采集完毕，启动仪器系统的校准程序完成校准；</w:t>
      </w:r>
    </w:p>
    <w:p w14:paraId="13C59FE2">
      <w:pPr>
        <w:pStyle w:val="213"/>
        <w:ind w:left="0"/>
      </w:pPr>
      <w:r>
        <w:rPr>
          <w:rFonts w:hint="eastAsia"/>
        </w:rPr>
        <w:t>工艺验证是指校准完毕，对仪器系统保存的试块上对应于检测区域内的所有反射体信号逐个进行确认，如</w:t>
      </w:r>
      <w:r>
        <w:rPr>
          <w:rFonts w:hint="eastAsia"/>
          <w:highlight w:val="yellow"/>
        </w:rPr>
        <w:t>图E.6</w:t>
      </w:r>
      <w:r>
        <w:rPr>
          <w:rFonts w:hint="eastAsia"/>
        </w:rPr>
        <w:t>所示。</w:t>
      </w:r>
    </w:p>
    <w:p w14:paraId="3288A7D7">
      <w:pPr>
        <w:pStyle w:val="213"/>
        <w:numPr>
          <w:ilvl w:val="0"/>
          <w:numId w:val="0"/>
        </w:numPr>
        <w:jc w:val="center"/>
      </w:pPr>
      <w:r>
        <w:drawing>
          <wp:inline distT="0" distB="0" distL="0" distR="0">
            <wp:extent cx="3164205" cy="244157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9"/>
                    <a:stretch>
                      <a:fillRect/>
                    </a:stretch>
                  </pic:blipFill>
                  <pic:spPr>
                    <a:xfrm>
                      <a:off x="0" y="0"/>
                      <a:ext cx="3168588" cy="2445151"/>
                    </a:xfrm>
                    <a:prstGeom prst="rect">
                      <a:avLst/>
                    </a:prstGeom>
                    <a:noFill/>
                    <a:ln>
                      <a:noFill/>
                    </a:ln>
                  </pic:spPr>
                </pic:pic>
              </a:graphicData>
            </a:graphic>
          </wp:inline>
        </w:drawing>
      </w:r>
    </w:p>
    <w:p w14:paraId="5AAE9FA6">
      <w:pPr>
        <w:pStyle w:val="83"/>
        <w:spacing w:before="156" w:after="156"/>
      </w:pPr>
      <w:r>
        <w:rPr>
          <w:rFonts w:hint="eastAsia"/>
        </w:rPr>
        <w:t>检测校准信号采集示意图</w:t>
      </w:r>
    </w:p>
    <w:p w14:paraId="2A59501E">
      <w:pPr>
        <w:pStyle w:val="78"/>
        <w:spacing w:before="156" w:after="156"/>
      </w:pPr>
      <w:r>
        <w:rPr>
          <w:rFonts w:hint="eastAsia"/>
        </w:rPr>
        <w:t>增益补偿</w:t>
      </w:r>
    </w:p>
    <w:p w14:paraId="1C91F0D6">
      <w:pPr>
        <w:pStyle w:val="56"/>
        <w:ind w:firstLine="420"/>
      </w:pPr>
      <w:r>
        <w:rPr>
          <w:rFonts w:hint="eastAsia"/>
        </w:rPr>
        <w:t>如果实际工件与校准试块存在较大差异，应考虑增益补偿。</w:t>
      </w:r>
    </w:p>
    <w:p w14:paraId="25D0F778">
      <w:pPr>
        <w:pStyle w:val="212"/>
        <w:ind w:left="0"/>
      </w:pPr>
      <w:r>
        <w:rPr>
          <w:rFonts w:hint="eastAsia"/>
        </w:rPr>
        <w:t>耦合补偿：对表面粗糙度不同引起的耦合损失进行补偿。</w:t>
      </w:r>
    </w:p>
    <w:p w14:paraId="5CB27322">
      <w:pPr>
        <w:pStyle w:val="212"/>
        <w:ind w:left="0"/>
      </w:pPr>
      <w:r>
        <w:rPr>
          <w:rFonts w:hint="eastAsia"/>
        </w:rPr>
        <w:t>衰减补偿：对材质不同引起的检测灵敏度下降和缺陷定量误差进行补偿。</w:t>
      </w:r>
    </w:p>
    <w:p w14:paraId="2F35AEE9">
      <w:pPr>
        <w:pStyle w:val="212"/>
        <w:ind w:left="0"/>
      </w:pPr>
      <w:r>
        <w:rPr>
          <w:rFonts w:hint="eastAsia"/>
        </w:rPr>
        <w:t>曲面补偿：对曲率半径不同引起的耦合损失进行补偿。</w:t>
      </w:r>
    </w:p>
    <w:p w14:paraId="1B9FC1D3">
      <w:pPr>
        <w:pStyle w:val="78"/>
        <w:spacing w:before="156" w:after="156"/>
      </w:pPr>
      <w:r>
        <w:rPr>
          <w:rFonts w:hint="eastAsia"/>
        </w:rPr>
        <w:t>检测数据采集</w:t>
      </w:r>
    </w:p>
    <w:p w14:paraId="3708C46D">
      <w:pPr>
        <w:pStyle w:val="212"/>
        <w:ind w:left="0"/>
      </w:pPr>
      <w:r>
        <w:rPr>
          <w:rFonts w:hint="eastAsia"/>
        </w:rPr>
        <w:t>采集的数据量应该满足所检测量的要求</w:t>
      </w:r>
      <w:r>
        <w:rPr>
          <w:rFonts w:hint="eastAsia"/>
          <w:lang w:eastAsia="zh-CN"/>
        </w:rPr>
        <w:t>。</w:t>
      </w:r>
    </w:p>
    <w:p w14:paraId="66644DA1">
      <w:pPr>
        <w:pStyle w:val="212"/>
        <w:ind w:left="0"/>
      </w:pPr>
      <w:r>
        <w:rPr>
          <w:rFonts w:hint="eastAsia"/>
        </w:rPr>
        <w:t>数据丢失不得超过整个扫查面积的3%，且不允许相邻数据连续丢失。</w:t>
      </w:r>
    </w:p>
    <w:p w14:paraId="7D213C50">
      <w:pPr>
        <w:pStyle w:val="212"/>
        <w:ind w:left="0"/>
      </w:pPr>
      <w:r>
        <w:rPr>
          <w:rFonts w:hint="eastAsia"/>
        </w:rPr>
        <w:t>扫查图像耦合不良不得超过整个扫查的3%。</w:t>
      </w:r>
    </w:p>
    <w:p w14:paraId="1C68D508">
      <w:pPr>
        <w:pStyle w:val="78"/>
        <w:spacing w:before="156" w:after="156"/>
      </w:pPr>
      <w:bookmarkStart w:id="184" w:name="_Toc128401713"/>
      <w:r>
        <w:rPr>
          <w:rFonts w:hint="eastAsia"/>
        </w:rPr>
        <w:t>检测报告</w:t>
      </w:r>
      <w:bookmarkEnd w:id="184"/>
    </w:p>
    <w:p w14:paraId="7CC15CB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检测报告应包括以下内容：</w:t>
      </w:r>
    </w:p>
    <w:p w14:paraId="210F876B">
      <w:pPr>
        <w:pStyle w:val="174"/>
        <w:numPr>
          <w:ilvl w:val="0"/>
          <w:numId w:val="71"/>
        </w:numPr>
      </w:pPr>
      <w:r>
        <w:rPr>
          <w:rFonts w:hint="eastAsia"/>
        </w:rPr>
        <w:t>委托单位；</w:t>
      </w:r>
    </w:p>
    <w:p w14:paraId="6BCAD5BB">
      <w:pPr>
        <w:pStyle w:val="174"/>
      </w:pPr>
      <w:r>
        <w:rPr>
          <w:rFonts w:hint="eastAsia"/>
        </w:rPr>
        <w:t>检测标准；</w:t>
      </w:r>
    </w:p>
    <w:p w14:paraId="5F765A2C">
      <w:pPr>
        <w:pStyle w:val="174"/>
      </w:pPr>
      <w:r>
        <w:rPr>
          <w:rFonts w:hint="eastAsia"/>
        </w:rPr>
        <w:t>被检工件：名称、编号、规格、材质、坡口形式、焊接方法和热处理状况；</w:t>
      </w:r>
    </w:p>
    <w:p w14:paraId="5A6E31E9">
      <w:pPr>
        <w:pStyle w:val="174"/>
      </w:pPr>
      <w:r>
        <w:rPr>
          <w:rFonts w:hint="eastAsia"/>
        </w:rPr>
        <w:t>检测设备：仪器型号及编号、扫查装置包括编码器、试块、耦合剂；</w:t>
      </w:r>
    </w:p>
    <w:p w14:paraId="507D8F03">
      <w:pPr>
        <w:pStyle w:val="174"/>
      </w:pPr>
      <w:r>
        <w:rPr>
          <w:rFonts w:hint="eastAsia"/>
        </w:rPr>
        <w:t>检测条件：检测工艺卡编号、探头参数及楔块选择、扫查方式（S或E）、聚焦法则的设定、检测使用的波型、检测系统的设置、系统性能试验报告、角度增益修正文件、温度；</w:t>
      </w:r>
    </w:p>
    <w:p w14:paraId="7BE437FC">
      <w:pPr>
        <w:pStyle w:val="174"/>
      </w:pPr>
      <w:r>
        <w:rPr>
          <w:rFonts w:hint="eastAsia"/>
        </w:rPr>
        <w:t>检测示意图：探头扫查表面、检测区域以及所发现的缺陷位置和分布；</w:t>
      </w:r>
    </w:p>
    <w:p w14:paraId="7D44ACD7">
      <w:pPr>
        <w:pStyle w:val="174"/>
      </w:pPr>
      <w:r>
        <w:rPr>
          <w:rFonts w:hint="eastAsia"/>
        </w:rPr>
        <w:t>检测数据：数据文件名称、缺陷位置与尺寸、质量级别及缺陷部位的图像（S扫描或B扫描等，以能够真实反映缺陷情况为原则）；</w:t>
      </w:r>
    </w:p>
    <w:p w14:paraId="4EA79C55">
      <w:pPr>
        <w:pStyle w:val="174"/>
      </w:pPr>
      <w:r>
        <w:rPr>
          <w:rFonts w:hint="eastAsia"/>
        </w:rPr>
        <w:t>检测结论；</w:t>
      </w:r>
    </w:p>
    <w:p w14:paraId="0F2535D5">
      <w:pPr>
        <w:pStyle w:val="174"/>
      </w:pPr>
      <w:r>
        <w:rPr>
          <w:rFonts w:hint="eastAsia"/>
        </w:rPr>
        <w:t>检测人员和责任人员签字；</w:t>
      </w:r>
    </w:p>
    <w:p w14:paraId="218EF4C3">
      <w:pPr>
        <w:pStyle w:val="174"/>
      </w:pPr>
      <w:r>
        <w:rPr>
          <w:rFonts w:hint="eastAsia"/>
        </w:rPr>
        <w:t>检测日期。</w:t>
      </w:r>
    </w:p>
    <w:p w14:paraId="0450A227">
      <w:pPr>
        <w:widowControl/>
        <w:tabs>
          <w:tab w:val="left" w:pos="851"/>
        </w:tabs>
        <w:autoSpaceDE w:val="0"/>
        <w:autoSpaceDN w:val="0"/>
        <w:adjustRightInd/>
        <w:spacing w:line="240" w:lineRule="auto"/>
        <w:rPr>
          <w:rFonts w:ascii="宋体" w:hAnsi="Times New Roman"/>
          <w:kern w:val="0"/>
          <w:szCs w:val="20"/>
        </w:rPr>
      </w:pPr>
    </w:p>
    <w:p w14:paraId="24C0A517">
      <w:pPr>
        <w:widowControl/>
        <w:autoSpaceDE w:val="0"/>
        <w:autoSpaceDN w:val="0"/>
        <w:adjustRightInd/>
        <w:spacing w:line="240" w:lineRule="auto"/>
        <w:rPr>
          <w:rFonts w:ascii="宋体" w:hAnsi="Times New Roman"/>
          <w:kern w:val="0"/>
          <w:szCs w:val="20"/>
        </w:rPr>
        <w:sectPr>
          <w:pgSz w:w="11906" w:h="16838"/>
          <w:pgMar w:top="1928" w:right="1134" w:bottom="1134" w:left="1134" w:header="1418" w:footer="1134" w:gutter="284"/>
          <w:cols w:space="425" w:num="1"/>
          <w:formProt w:val="0"/>
          <w:docGrid w:type="lines" w:linePitch="312" w:charSpace="0"/>
        </w:sectPr>
      </w:pPr>
    </w:p>
    <w:p w14:paraId="7A871B72">
      <w:pPr>
        <w:pStyle w:val="198"/>
        <w:ind w:left="0"/>
        <w:rPr>
          <w:rFonts w:hint="eastAsia"/>
        </w:rPr>
      </w:pPr>
    </w:p>
    <w:p w14:paraId="2C34E571">
      <w:pPr>
        <w:pStyle w:val="199"/>
        <w:ind w:left="0"/>
      </w:pPr>
    </w:p>
    <w:p w14:paraId="0452F1CD">
      <w:pPr>
        <w:pStyle w:val="76"/>
        <w:spacing w:after="156"/>
      </w:pPr>
      <w:r>
        <w:br w:type="textWrapping"/>
      </w:r>
      <w:bookmarkStart w:id="185" w:name="_Toc129620130"/>
      <w:r>
        <w:rPr>
          <w:rFonts w:hint="eastAsia"/>
        </w:rPr>
        <w:t>（规范性）</w:t>
      </w:r>
      <w:r>
        <w:br w:type="textWrapping"/>
      </w:r>
      <w:r>
        <w:rPr>
          <w:rFonts w:hint="eastAsia"/>
        </w:rPr>
        <w:t>X射线数字成像检测</w:t>
      </w:r>
      <w:bookmarkEnd w:id="185"/>
    </w:p>
    <w:p w14:paraId="7D12FF77">
      <w:pPr>
        <w:pStyle w:val="78"/>
        <w:spacing w:before="156" w:after="156"/>
      </w:pPr>
      <w:bookmarkStart w:id="186" w:name="_Toc127956153"/>
      <w:bookmarkStart w:id="187" w:name="_Toc127953510"/>
      <w:r>
        <w:rPr>
          <w:rFonts w:hint="eastAsia"/>
        </w:rPr>
        <w:t>范围</w:t>
      </w:r>
      <w:bookmarkEnd w:id="186"/>
      <w:bookmarkEnd w:id="187"/>
    </w:p>
    <w:p w14:paraId="5CDF68B2">
      <w:pPr>
        <w:pStyle w:val="212"/>
        <w:ind w:left="0"/>
      </w:pPr>
      <w:r>
        <w:rPr>
          <w:rFonts w:hint="eastAsia"/>
        </w:rPr>
        <w:t>本附录规定了铝内胆碳纤维全缠绕储氢气瓶（以下简称储氢气瓶）X射线数字成像检测技术和质量分级要求。</w:t>
      </w:r>
    </w:p>
    <w:p w14:paraId="01C0673C">
      <w:pPr>
        <w:pStyle w:val="212"/>
        <w:ind w:left="0"/>
      </w:pPr>
      <w:r>
        <w:rPr>
          <w:rFonts w:hint="eastAsia"/>
        </w:rPr>
        <w:t>本部分适用于储氢气瓶的在用检测中的X射线数字成像检测。储氢气瓶公称工作压力≤70MPa、公称水容积≤450L、存介质为压缩氢气、工作温度不低于-40℃且不高于85℃、固定在道路车辆上用作燃料箱的可重复充装气瓶。</w:t>
      </w:r>
    </w:p>
    <w:p w14:paraId="4D4511DB">
      <w:pPr>
        <w:pStyle w:val="212"/>
        <w:ind w:left="0"/>
      </w:pPr>
      <w:r>
        <w:rPr>
          <w:rFonts w:hint="eastAsia"/>
        </w:rPr>
        <w:t>本部分适用的成像器件为数字探测器；适用的X射线机最高管电压不超过300kV。</w:t>
      </w:r>
    </w:p>
    <w:p w14:paraId="1CF6060A">
      <w:pPr>
        <w:pStyle w:val="212"/>
        <w:ind w:left="0"/>
      </w:pPr>
      <w:r>
        <w:rPr>
          <w:rFonts w:hint="eastAsia"/>
        </w:rPr>
        <w:t>氢燃料电池城市轨道交通等供氢用气瓶可参考本附录进行检验、检测与在线检测。</w:t>
      </w:r>
    </w:p>
    <w:p w14:paraId="25526528">
      <w:pPr>
        <w:pStyle w:val="78"/>
        <w:spacing w:before="156" w:after="156"/>
      </w:pPr>
      <w:bookmarkStart w:id="188" w:name="_Toc127953511"/>
      <w:bookmarkStart w:id="189" w:name="_Toc127956154"/>
      <w:r>
        <w:rPr>
          <w:rFonts w:hint="eastAsia"/>
        </w:rPr>
        <w:t>规范性引用文件</w:t>
      </w:r>
      <w:bookmarkEnd w:id="188"/>
      <w:bookmarkEnd w:id="189"/>
    </w:p>
    <w:sdt>
      <w:sdtPr>
        <w:rPr>
          <w:rFonts w:hint="eastAsia" w:ascii="宋体" w:hAnsi="Times New Roman"/>
          <w:kern w:val="0"/>
          <w:szCs w:val="20"/>
        </w:rPr>
        <w:id w:val="1025836220"/>
        <w:placeholder>
          <w:docPart w:val="1A192D37AC7E4A08AC4A605A3CD2BAF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ascii="宋体" w:hAnsi="Times New Roman"/>
          <w:kern w:val="0"/>
          <w:szCs w:val="20"/>
        </w:rPr>
      </w:sdtEndPr>
      <w:sdtContent>
        <w:p w14:paraId="64FF79D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515487B">
      <w:pPr>
        <w:ind w:firstLine="420"/>
        <w:rPr>
          <w:rFonts w:hint="eastAsia" w:ascii="宋体" w:hAnsi="宋体" w:cs="Arial"/>
          <w:color w:val="333333"/>
          <w:kern w:val="0"/>
        </w:rPr>
      </w:pPr>
      <w:r>
        <w:rPr>
          <w:rFonts w:hint="eastAsia" w:ascii="宋体" w:hAnsi="宋体" w:cs="Arial"/>
          <w:color w:val="333333"/>
          <w:kern w:val="0"/>
        </w:rPr>
        <w:t>GB/T23901.2</w:t>
      </w:r>
      <w:r>
        <w:rPr>
          <w:rFonts w:hint="eastAsia" w:ascii="宋体" w:hAnsi="宋体" w:cs="Arial"/>
          <w:color w:val="333333"/>
          <w:kern w:val="0"/>
          <w:lang w:val="en-US" w:eastAsia="zh-CN"/>
        </w:rPr>
        <w:t xml:space="preserve">-2019 </w:t>
      </w:r>
      <w:r>
        <w:rPr>
          <w:rFonts w:hint="eastAsia" w:ascii="宋体" w:hAnsi="宋体" w:cs="Arial"/>
          <w:color w:val="333333"/>
          <w:kern w:val="0"/>
        </w:rPr>
        <w:t>无损检测 射线照相检测图像质量 第2部分：阶梯孔型像质计 像质值的测定</w:t>
      </w:r>
    </w:p>
    <w:p w14:paraId="4C8A88F3">
      <w:pPr>
        <w:ind w:firstLine="420"/>
        <w:rPr>
          <w:rFonts w:hint="eastAsia" w:ascii="宋体" w:hAnsi="宋体" w:cs="Arial"/>
          <w:color w:val="333333"/>
          <w:kern w:val="0"/>
        </w:rPr>
      </w:pPr>
      <w:r>
        <w:rPr>
          <w:rFonts w:hint="eastAsia" w:ascii="宋体" w:hAnsi="宋体" w:cs="Arial"/>
          <w:color w:val="333333"/>
          <w:kern w:val="0"/>
        </w:rPr>
        <w:t>GB/T23901.5</w:t>
      </w:r>
      <w:r>
        <w:rPr>
          <w:rFonts w:hint="eastAsia" w:ascii="宋体" w:hAnsi="宋体" w:cs="Arial"/>
          <w:color w:val="333333"/>
          <w:kern w:val="0"/>
          <w:lang w:val="en-US" w:eastAsia="zh-CN"/>
        </w:rPr>
        <w:t xml:space="preserve">-2019 </w:t>
      </w:r>
      <w:r>
        <w:rPr>
          <w:rFonts w:hint="eastAsia" w:ascii="宋体" w:hAnsi="宋体" w:cs="Arial"/>
          <w:color w:val="333333"/>
          <w:kern w:val="0"/>
        </w:rPr>
        <w:t>无损检测 射线照相检测图像质量 第5部分：双线型像质计 图像不清晰度的测定</w:t>
      </w:r>
    </w:p>
    <w:p w14:paraId="79B4AC43">
      <w:pPr>
        <w:ind w:firstLine="420"/>
        <w:rPr>
          <w:rFonts w:hint="eastAsia" w:ascii="宋体" w:hAnsi="宋体" w:cs="Arial"/>
          <w:color w:val="333333"/>
          <w:kern w:val="0"/>
        </w:rPr>
      </w:pPr>
      <w:r>
        <w:rPr>
          <w:rFonts w:hint="eastAsia" w:ascii="宋体" w:hAnsi="宋体" w:cs="Arial"/>
          <w:color w:val="333333"/>
          <w:kern w:val="0"/>
        </w:rPr>
        <w:t>G</w:t>
      </w:r>
      <w:r>
        <w:rPr>
          <w:rFonts w:ascii="宋体" w:hAnsi="宋体" w:cs="Arial"/>
          <w:color w:val="333333"/>
          <w:kern w:val="0"/>
        </w:rPr>
        <w:t>B/T26592</w:t>
      </w:r>
      <w:r>
        <w:rPr>
          <w:rFonts w:hint="eastAsia" w:ascii="宋体" w:hAnsi="宋体" w:cs="Arial"/>
          <w:color w:val="333333"/>
          <w:kern w:val="0"/>
          <w:lang w:val="en-US" w:eastAsia="zh-CN"/>
        </w:rPr>
        <w:t xml:space="preserve">-2011 </w:t>
      </w:r>
      <w:r>
        <w:rPr>
          <w:rFonts w:hint="eastAsia" w:ascii="宋体" w:hAnsi="宋体" w:cs="Arial"/>
          <w:color w:val="333333"/>
          <w:kern w:val="0"/>
        </w:rPr>
        <w:t>无损检测仪器 工业X射线探伤机性能测试方法</w:t>
      </w:r>
    </w:p>
    <w:p w14:paraId="23418C50">
      <w:pPr>
        <w:ind w:firstLine="420"/>
        <w:rPr>
          <w:rFonts w:hint="eastAsia" w:ascii="宋体" w:hAnsi="宋体" w:cs="Arial"/>
          <w:color w:val="333333"/>
          <w:kern w:val="0"/>
        </w:rPr>
      </w:pPr>
      <w:r>
        <w:rPr>
          <w:rFonts w:hint="eastAsia" w:ascii="宋体" w:hAnsi="宋体" w:cs="Arial"/>
          <w:color w:val="333333"/>
          <w:kern w:val="0"/>
        </w:rPr>
        <w:t>G</w:t>
      </w:r>
      <w:r>
        <w:rPr>
          <w:rFonts w:ascii="宋体" w:hAnsi="宋体" w:cs="Arial"/>
          <w:color w:val="333333"/>
          <w:kern w:val="0"/>
        </w:rPr>
        <w:t>B/T26594</w:t>
      </w:r>
      <w:r>
        <w:rPr>
          <w:rFonts w:hint="eastAsia" w:ascii="宋体" w:hAnsi="宋体" w:cs="Arial"/>
          <w:color w:val="333333"/>
          <w:kern w:val="0"/>
          <w:lang w:val="en-US" w:eastAsia="zh-CN"/>
        </w:rPr>
        <w:t xml:space="preserve">-2011 </w:t>
      </w:r>
      <w:r>
        <w:rPr>
          <w:rFonts w:ascii="宋体" w:hAnsi="宋体" w:cs="Arial"/>
          <w:color w:val="333333"/>
          <w:kern w:val="0"/>
        </w:rPr>
        <w:t>无损检测仪器</w:t>
      </w:r>
      <w:r>
        <w:rPr>
          <w:rFonts w:hint="eastAsia" w:ascii="宋体" w:hAnsi="宋体" w:cs="Arial"/>
          <w:color w:val="333333"/>
          <w:kern w:val="0"/>
        </w:rPr>
        <w:t xml:space="preserve"> </w:t>
      </w:r>
      <w:r>
        <w:rPr>
          <w:rFonts w:ascii="宋体" w:hAnsi="宋体" w:cs="Arial"/>
          <w:color w:val="333333"/>
          <w:kern w:val="0"/>
        </w:rPr>
        <w:t>工业用</w:t>
      </w:r>
      <w:r>
        <w:rPr>
          <w:rFonts w:hint="eastAsia" w:ascii="宋体" w:hAnsi="宋体" w:cs="Arial"/>
          <w:color w:val="333333"/>
          <w:kern w:val="0"/>
        </w:rPr>
        <w:t>X</w:t>
      </w:r>
      <w:r>
        <w:rPr>
          <w:rFonts w:ascii="宋体" w:hAnsi="宋体" w:cs="Arial"/>
          <w:color w:val="333333"/>
          <w:kern w:val="0"/>
        </w:rPr>
        <w:t>射线管性能测试方法</w:t>
      </w:r>
    </w:p>
    <w:p w14:paraId="24B0AA36">
      <w:pPr>
        <w:ind w:firstLine="420"/>
        <w:rPr>
          <w:rFonts w:hint="eastAsia" w:ascii="宋体" w:hAnsi="宋体" w:cs="Arial"/>
          <w:color w:val="333333"/>
          <w:kern w:val="0"/>
        </w:rPr>
      </w:pPr>
      <w:r>
        <w:rPr>
          <w:rFonts w:ascii="宋体" w:hAnsi="宋体" w:cs="Arial"/>
          <w:color w:val="333333"/>
          <w:kern w:val="0"/>
        </w:rPr>
        <w:t>NB/T47013.11</w:t>
      </w:r>
      <w:r>
        <w:rPr>
          <w:rFonts w:hint="eastAsia" w:ascii="宋体" w:hAnsi="宋体" w:cs="Arial"/>
          <w:color w:val="333333"/>
          <w:kern w:val="0"/>
          <w:lang w:val="en-US" w:eastAsia="zh-CN"/>
        </w:rPr>
        <w:t>-2023</w:t>
      </w:r>
      <w:r>
        <w:rPr>
          <w:rFonts w:hint="eastAsia" w:ascii="宋体" w:hAnsi="宋体" w:cs="Arial"/>
          <w:color w:val="333333"/>
          <w:kern w:val="0"/>
        </w:rPr>
        <w:t xml:space="preserve">  承压设备无损检测 第11部分：X射线数字成像检测</w:t>
      </w:r>
    </w:p>
    <w:p w14:paraId="4FFE944B">
      <w:pPr>
        <w:ind w:firstLine="420"/>
        <w:rPr>
          <w:rFonts w:hint="eastAsia" w:ascii="宋体" w:hAnsi="宋体" w:cs="Arial"/>
          <w:color w:val="333333"/>
          <w:kern w:val="0"/>
        </w:rPr>
      </w:pPr>
    </w:p>
    <w:p w14:paraId="240FB77C">
      <w:pPr>
        <w:pStyle w:val="78"/>
        <w:spacing w:before="156" w:after="156"/>
      </w:pPr>
      <w:bookmarkStart w:id="190" w:name="_Toc127956155"/>
      <w:bookmarkStart w:id="191" w:name="_Toc127953512"/>
      <w:r>
        <w:rPr>
          <w:rFonts w:hint="eastAsia"/>
        </w:rPr>
        <w:t>术语和定义</w:t>
      </w:r>
      <w:bookmarkEnd w:id="190"/>
      <w:bookmarkEnd w:id="191"/>
    </w:p>
    <w:sdt>
      <w:sdtPr>
        <w:rPr>
          <w:rFonts w:ascii="宋体" w:hAnsi="Times New Roman"/>
          <w:kern w:val="0"/>
          <w:szCs w:val="20"/>
        </w:rPr>
        <w:id w:val="-516073456"/>
        <w:placeholder>
          <w:docPart w:val="8966DA15AB154A17B7AB1909A3DDB41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宋体" w:hAnsi="Times New Roman"/>
          <w:kern w:val="0"/>
          <w:szCs w:val="20"/>
        </w:rPr>
      </w:sdtEndPr>
      <w:sdtContent>
        <w:p w14:paraId="09FEE7B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NB/T47013.1界定的以及下列术语和定义适用于本文件。</w:t>
          </w:r>
        </w:p>
      </w:sdtContent>
    </w:sdt>
    <w:p w14:paraId="130C1EE4">
      <w:pPr>
        <w:pStyle w:val="79"/>
        <w:spacing w:before="156" w:after="156"/>
        <w:ind w:left="0"/>
      </w:pPr>
    </w:p>
    <w:p w14:paraId="5309C846">
      <w:pPr>
        <w:ind w:firstLine="420"/>
        <w:rPr>
          <w:rFonts w:hint="eastAsia" w:ascii="宋体" w:hAnsi="宋体" w:cs="Arial"/>
          <w:color w:val="333333"/>
          <w:kern w:val="0"/>
        </w:rPr>
      </w:pPr>
      <w:r>
        <w:rPr>
          <w:rFonts w:hint="eastAsia" w:ascii="黑体" w:hAnsi="黑体" w:eastAsia="黑体"/>
        </w:rPr>
        <w:t>像素 pi</w:t>
      </w:r>
      <w:r>
        <w:rPr>
          <w:rFonts w:hint="eastAsia" w:ascii="黑体" w:hAnsi="黑体" w:eastAsia="黑体"/>
          <w:lang w:eastAsia="zh-Hans"/>
        </w:rPr>
        <w:t>x</w:t>
      </w:r>
      <w:r>
        <w:rPr>
          <w:rFonts w:hint="eastAsia" w:ascii="黑体" w:hAnsi="黑体" w:eastAsia="黑体"/>
        </w:rPr>
        <w:t>el</w:t>
      </w:r>
    </w:p>
    <w:p w14:paraId="39550F27">
      <w:pPr>
        <w:ind w:firstLine="420"/>
        <w:rPr>
          <w:rFonts w:hint="eastAsia" w:ascii="宋体" w:hAnsi="宋体" w:cs="Arial"/>
          <w:color w:val="333333"/>
          <w:kern w:val="0"/>
        </w:rPr>
      </w:pPr>
      <w:r>
        <w:rPr>
          <w:rFonts w:hint="eastAsia" w:ascii="宋体" w:hAnsi="宋体" w:cs="Arial"/>
          <w:color w:val="333333"/>
          <w:kern w:val="0"/>
        </w:rPr>
        <w:t>x射线数字图像的基本组成单元。</w:t>
      </w:r>
      <w:r>
        <w:rPr>
          <w:rFonts w:ascii="宋体" w:hAnsi="宋体" w:cs="Arial"/>
          <w:color w:val="333333"/>
          <w:kern w:val="0"/>
          <w:lang w:eastAsia="zh-Hans"/>
        </w:rPr>
        <w:t>X</w:t>
      </w:r>
      <w:r>
        <w:rPr>
          <w:rFonts w:hint="eastAsia" w:ascii="宋体" w:hAnsi="宋体" w:cs="Arial"/>
          <w:color w:val="333333"/>
          <w:kern w:val="0"/>
        </w:rPr>
        <w:t>射线数字图像都是由点组成的，组成图像的每一个点称为像素。</w:t>
      </w:r>
    </w:p>
    <w:p w14:paraId="0F333053">
      <w:pPr>
        <w:pStyle w:val="79"/>
        <w:spacing w:before="156" w:after="156"/>
        <w:ind w:left="0"/>
      </w:pPr>
    </w:p>
    <w:p w14:paraId="39D19BDF">
      <w:pPr>
        <w:ind w:firstLine="420"/>
        <w:rPr>
          <w:rFonts w:hint="eastAsia" w:ascii="宋体" w:hAnsi="宋体" w:cs="Arial"/>
          <w:color w:val="333333"/>
          <w:kern w:val="0"/>
        </w:rPr>
      </w:pPr>
      <w:r>
        <w:rPr>
          <w:rFonts w:hint="eastAsia" w:ascii="黑体" w:hAnsi="黑体" w:eastAsia="黑体"/>
        </w:rPr>
        <w:t>图像灵敏度 image sensitivity</w:t>
      </w:r>
    </w:p>
    <w:p w14:paraId="39558AEF">
      <w:pPr>
        <w:ind w:firstLine="420"/>
        <w:rPr>
          <w:rFonts w:hint="eastAsia" w:ascii="宋体" w:hAnsi="宋体" w:cs="Arial"/>
          <w:color w:val="333333"/>
          <w:kern w:val="0"/>
        </w:rPr>
      </w:pPr>
      <w:r>
        <w:rPr>
          <w:rFonts w:hint="eastAsia" w:ascii="宋体" w:hAnsi="宋体" w:cs="Arial"/>
          <w:color w:val="333333"/>
          <w:kern w:val="0"/>
        </w:rPr>
        <w:t>检测系统所能发现的被检工件图像中最小细节的能力。</w:t>
      </w:r>
    </w:p>
    <w:p w14:paraId="21BFD342">
      <w:pPr>
        <w:pStyle w:val="79"/>
        <w:spacing w:before="156" w:after="156"/>
        <w:ind w:left="0"/>
      </w:pPr>
    </w:p>
    <w:p w14:paraId="57185C0C">
      <w:pPr>
        <w:ind w:firstLine="420"/>
        <w:rPr>
          <w:rFonts w:hint="eastAsia" w:ascii="宋体" w:hAnsi="宋体" w:cs="Arial"/>
          <w:color w:val="333333"/>
          <w:kern w:val="0"/>
        </w:rPr>
      </w:pPr>
      <w:r>
        <w:rPr>
          <w:rFonts w:hint="eastAsia" w:ascii="黑体" w:hAnsi="黑体" w:eastAsia="黑体"/>
        </w:rPr>
        <w:t>分辨率 resolution rati</w:t>
      </w:r>
      <w:r>
        <w:rPr>
          <w:rFonts w:ascii="黑体" w:hAnsi="黑体" w:eastAsia="黑体"/>
        </w:rPr>
        <w:t>o</w:t>
      </w:r>
    </w:p>
    <w:p w14:paraId="5C9026BA">
      <w:pPr>
        <w:ind w:firstLine="420"/>
        <w:rPr>
          <w:rFonts w:hint="eastAsia" w:ascii="宋体" w:hAnsi="宋体" w:cs="Arial"/>
          <w:color w:val="333333"/>
          <w:kern w:val="0"/>
        </w:rPr>
      </w:pPr>
      <w:r>
        <w:rPr>
          <w:rFonts w:hint="eastAsia" w:ascii="宋体" w:hAnsi="宋体" w:cs="Arial"/>
          <w:color w:val="333333"/>
          <w:kern w:val="0"/>
        </w:rPr>
        <w:t>单位长度上可分辨两个相邻细节间最小距离的能力，用1p/mm表</w:t>
      </w:r>
      <w:r>
        <w:rPr>
          <w:rFonts w:hint="eastAsia" w:ascii="宋体" w:hAnsi="宋体" w:cs="Arial"/>
          <w:color w:val="333333"/>
          <w:kern w:val="0"/>
          <w:lang w:eastAsia="zh-Hans"/>
        </w:rPr>
        <w:t>示</w:t>
      </w:r>
      <w:r>
        <w:rPr>
          <w:rFonts w:hint="eastAsia" w:ascii="宋体" w:hAnsi="宋体" w:cs="Arial"/>
          <w:color w:val="333333"/>
          <w:kern w:val="0"/>
        </w:rPr>
        <w:t>。</w:t>
      </w:r>
    </w:p>
    <w:p w14:paraId="212A9CC4">
      <w:pPr>
        <w:pStyle w:val="79"/>
        <w:spacing w:before="156" w:after="156"/>
        <w:ind w:left="0"/>
      </w:pPr>
    </w:p>
    <w:p w14:paraId="7ACCD3F5">
      <w:pPr>
        <w:ind w:firstLine="420"/>
        <w:rPr>
          <w:rFonts w:hint="eastAsia" w:ascii="宋体" w:hAnsi="宋体" w:cs="Arial"/>
          <w:color w:val="333333"/>
          <w:kern w:val="0"/>
        </w:rPr>
      </w:pPr>
      <w:r>
        <w:rPr>
          <w:rFonts w:hint="eastAsia" w:ascii="黑体" w:hAnsi="黑体" w:eastAsia="黑体"/>
          <w:lang w:eastAsia="zh-Hans"/>
        </w:rPr>
        <w:t>分辨</w:t>
      </w:r>
      <w:r>
        <w:rPr>
          <w:rFonts w:hint="eastAsia" w:ascii="黑体" w:hAnsi="黑体" w:eastAsia="黑体"/>
        </w:rPr>
        <w:t>力 resolution</w:t>
      </w:r>
    </w:p>
    <w:p w14:paraId="1EEC4628">
      <w:pPr>
        <w:ind w:firstLine="420"/>
        <w:rPr>
          <w:rFonts w:hint="eastAsia" w:ascii="宋体" w:hAnsi="宋体" w:cs="Arial"/>
          <w:color w:val="333333"/>
          <w:kern w:val="0"/>
        </w:rPr>
      </w:pPr>
      <w:r>
        <w:rPr>
          <w:rFonts w:hint="eastAsia" w:ascii="宋体" w:hAnsi="宋体" w:cs="Arial"/>
          <w:color w:val="333333"/>
          <w:kern w:val="0"/>
        </w:rPr>
        <w:t>两个相邻细书间最小距离的分辨能力。</w:t>
      </w:r>
    </w:p>
    <w:p w14:paraId="694C3296">
      <w:pPr>
        <w:pStyle w:val="79"/>
        <w:spacing w:before="156" w:after="156"/>
        <w:ind w:left="0"/>
      </w:pPr>
    </w:p>
    <w:p w14:paraId="2B3D9E54">
      <w:pPr>
        <w:ind w:firstLine="420"/>
        <w:rPr>
          <w:rFonts w:hint="eastAsia" w:ascii="宋体" w:hAnsi="宋体" w:cs="Arial"/>
          <w:color w:val="333333"/>
          <w:kern w:val="0"/>
        </w:rPr>
      </w:pPr>
      <w:r>
        <w:rPr>
          <w:rFonts w:hint="eastAsia" w:ascii="黑体" w:hAnsi="黑体" w:eastAsia="黑体"/>
        </w:rPr>
        <w:t>系统分</w:t>
      </w:r>
      <w:r>
        <w:rPr>
          <w:rFonts w:hint="eastAsia" w:ascii="黑体" w:hAnsi="黑体" w:eastAsia="黑体"/>
          <w:lang w:eastAsia="zh-Hans"/>
        </w:rPr>
        <w:t>辨</w:t>
      </w:r>
      <w:r>
        <w:rPr>
          <w:rFonts w:hint="eastAsia" w:ascii="黑体" w:hAnsi="黑体" w:eastAsia="黑体"/>
        </w:rPr>
        <w:t>率 system resolution rat</w:t>
      </w:r>
      <w:r>
        <w:rPr>
          <w:rFonts w:hint="eastAsia" w:ascii="黑体" w:hAnsi="黑体" w:eastAsia="黑体"/>
          <w:lang w:eastAsia="zh-Hans"/>
        </w:rPr>
        <w:t>i</w:t>
      </w:r>
      <w:r>
        <w:rPr>
          <w:rFonts w:hint="eastAsia" w:ascii="黑体" w:hAnsi="黑体" w:eastAsia="黑体"/>
        </w:rPr>
        <w:t>o</w:t>
      </w:r>
    </w:p>
    <w:p w14:paraId="75EFBD53">
      <w:pPr>
        <w:ind w:firstLine="420"/>
        <w:rPr>
          <w:rFonts w:hint="eastAsia" w:ascii="宋体" w:hAnsi="宋体" w:cs="Arial"/>
          <w:color w:val="333333"/>
          <w:kern w:val="0"/>
        </w:rPr>
      </w:pPr>
      <w:r>
        <w:rPr>
          <w:rFonts w:hint="eastAsia" w:ascii="宋体" w:hAnsi="宋体" w:cs="Arial"/>
          <w:color w:val="333333"/>
          <w:kern w:val="0"/>
        </w:rPr>
        <w:t>在无被检工件的增况下，当透照几何放大倍数接近于1时，检测系统所能</w:t>
      </w:r>
      <w:r>
        <w:rPr>
          <w:rFonts w:hint="eastAsia" w:ascii="宋体" w:hAnsi="宋体" w:cs="Arial"/>
          <w:color w:val="333333"/>
          <w:kern w:val="0"/>
          <w:lang w:eastAsia="zh-Hans"/>
        </w:rPr>
        <w:t>分辨</w:t>
      </w:r>
      <w:r>
        <w:rPr>
          <w:rFonts w:hint="eastAsia" w:ascii="宋体" w:hAnsi="宋体" w:cs="Arial"/>
          <w:color w:val="333333"/>
          <w:kern w:val="0"/>
        </w:rPr>
        <w:t>的单位长度上两个相邻细节间最小距离的能力。反映了检测系统本身的特性，也称为系统基本空间</w:t>
      </w:r>
      <w:r>
        <w:rPr>
          <w:rFonts w:hint="eastAsia" w:ascii="宋体" w:hAnsi="宋体" w:cs="Arial"/>
          <w:color w:val="333333"/>
          <w:kern w:val="0"/>
          <w:lang w:eastAsia="zh-Hans"/>
        </w:rPr>
        <w:t>分辨</w:t>
      </w:r>
      <w:r>
        <w:rPr>
          <w:rFonts w:hint="eastAsia" w:ascii="宋体" w:hAnsi="宋体" w:cs="Arial"/>
          <w:color w:val="333333"/>
          <w:kern w:val="0"/>
        </w:rPr>
        <w:t>率。</w:t>
      </w:r>
    </w:p>
    <w:p w14:paraId="093F1DEE">
      <w:pPr>
        <w:pStyle w:val="79"/>
        <w:spacing w:before="156" w:after="156"/>
        <w:ind w:left="0"/>
      </w:pPr>
    </w:p>
    <w:p w14:paraId="556BE1D7">
      <w:pPr>
        <w:ind w:firstLine="420"/>
        <w:rPr>
          <w:rFonts w:hint="eastAsia" w:ascii="宋体" w:hAnsi="宋体" w:cs="Arial"/>
          <w:color w:val="333333"/>
          <w:kern w:val="0"/>
        </w:rPr>
      </w:pPr>
      <w:r>
        <w:rPr>
          <w:rFonts w:hint="eastAsia" w:ascii="黑体" w:hAnsi="黑体" w:eastAsia="黑体"/>
        </w:rPr>
        <w:t>图像分</w:t>
      </w:r>
      <w:r>
        <w:rPr>
          <w:rFonts w:hint="eastAsia" w:ascii="黑体" w:hAnsi="黑体" w:eastAsia="黑体"/>
          <w:lang w:eastAsia="zh-Hans"/>
        </w:rPr>
        <w:t>辨</w:t>
      </w:r>
      <w:r>
        <w:rPr>
          <w:rFonts w:hint="eastAsia" w:ascii="黑体" w:hAnsi="黑体" w:eastAsia="黑体"/>
        </w:rPr>
        <w:t>率 image resolution ratio</w:t>
      </w:r>
    </w:p>
    <w:p w14:paraId="26C3DFA8">
      <w:pPr>
        <w:ind w:firstLine="420"/>
        <w:rPr>
          <w:rFonts w:hint="eastAsia" w:ascii="宋体" w:hAnsi="宋体" w:cs="Arial"/>
          <w:color w:val="333333"/>
          <w:kern w:val="0"/>
        </w:rPr>
      </w:pPr>
      <w:r>
        <w:rPr>
          <w:rFonts w:hint="eastAsia" w:ascii="宋体" w:hAnsi="宋体" w:cs="Arial"/>
          <w:color w:val="333333"/>
          <w:kern w:val="0"/>
        </w:rPr>
        <w:t>检测系统所能分</w:t>
      </w:r>
      <w:r>
        <w:rPr>
          <w:rFonts w:hint="eastAsia" w:ascii="宋体" w:hAnsi="宋体" w:cs="Arial"/>
          <w:color w:val="333333"/>
          <w:kern w:val="0"/>
          <w:lang w:eastAsia="zh-Hans"/>
        </w:rPr>
        <w:t>辨</w:t>
      </w:r>
      <w:r>
        <w:rPr>
          <w:rFonts w:hint="eastAsia" w:ascii="宋体" w:hAnsi="宋体" w:cs="Arial"/>
          <w:color w:val="333333"/>
          <w:kern w:val="0"/>
        </w:rPr>
        <w:t>的被检工件图像中单位长度上两个相邻细节间最小</w:t>
      </w:r>
      <w:r>
        <w:rPr>
          <w:rFonts w:hint="eastAsia" w:ascii="宋体" w:hAnsi="宋体" w:cs="Arial"/>
          <w:color w:val="333333"/>
          <w:kern w:val="0"/>
          <w:lang w:eastAsia="zh-Hans"/>
        </w:rPr>
        <w:t>距</w:t>
      </w:r>
      <w:r>
        <w:rPr>
          <w:rFonts w:hint="eastAsia" w:ascii="宋体" w:hAnsi="宋体" w:cs="Arial"/>
          <w:color w:val="333333"/>
          <w:kern w:val="0"/>
        </w:rPr>
        <w:t>离的能力，也称为图像空间分辨率。</w:t>
      </w:r>
    </w:p>
    <w:p w14:paraId="4367EEBF">
      <w:pPr>
        <w:pStyle w:val="79"/>
        <w:spacing w:before="156" w:after="156"/>
        <w:ind w:left="0"/>
      </w:pPr>
    </w:p>
    <w:p w14:paraId="053EF081">
      <w:pPr>
        <w:ind w:firstLine="420"/>
        <w:rPr>
          <w:rFonts w:hint="eastAsia" w:ascii="宋体" w:hAnsi="宋体" w:cs="Arial"/>
          <w:color w:val="333333"/>
          <w:kern w:val="0"/>
        </w:rPr>
      </w:pPr>
      <w:r>
        <w:rPr>
          <w:rFonts w:hint="eastAsia" w:ascii="黑体" w:hAnsi="黑体" w:eastAsia="黑体"/>
        </w:rPr>
        <w:t>数字探测器 digital detector</w:t>
      </w:r>
    </w:p>
    <w:p w14:paraId="5A9D338B">
      <w:pPr>
        <w:ind w:firstLine="420"/>
        <w:rPr>
          <w:rFonts w:hint="eastAsia" w:ascii="宋体" w:hAnsi="宋体" w:cs="Arial"/>
          <w:color w:val="333333"/>
          <w:kern w:val="0"/>
        </w:rPr>
      </w:pPr>
      <w:r>
        <w:rPr>
          <w:rFonts w:hint="eastAsia" w:ascii="宋体" w:hAnsi="宋体" w:cs="Arial"/>
          <w:color w:val="333333"/>
          <w:kern w:val="0"/>
        </w:rPr>
        <w:t>把</w:t>
      </w:r>
      <w:r>
        <w:rPr>
          <w:rFonts w:ascii="宋体" w:hAnsi="宋体" w:cs="Arial"/>
          <w:color w:val="333333"/>
          <w:kern w:val="0"/>
        </w:rPr>
        <w:t>X</w:t>
      </w:r>
      <w:r>
        <w:rPr>
          <w:rFonts w:hint="eastAsia" w:ascii="宋体" w:hAnsi="宋体" w:cs="Arial"/>
          <w:color w:val="333333"/>
          <w:kern w:val="0"/>
        </w:rPr>
        <w:t>射线光子转换成数字信号的电子裝置，以下简称为探测器。</w:t>
      </w:r>
    </w:p>
    <w:p w14:paraId="5BCF3B8E">
      <w:pPr>
        <w:pStyle w:val="79"/>
        <w:spacing w:before="156" w:after="156"/>
        <w:ind w:left="0"/>
      </w:pPr>
    </w:p>
    <w:p w14:paraId="382C8B2E">
      <w:pPr>
        <w:ind w:firstLine="420"/>
        <w:rPr>
          <w:rFonts w:hint="eastAsia" w:ascii="宋体" w:hAnsi="宋体" w:cs="Arial"/>
          <w:color w:val="333333"/>
          <w:kern w:val="0"/>
          <w:lang w:eastAsia="zh-Hans"/>
        </w:rPr>
      </w:pPr>
      <w:r>
        <w:rPr>
          <w:rFonts w:hint="eastAsia" w:ascii="黑体" w:hAnsi="黑体" w:eastAsia="黑体"/>
        </w:rPr>
        <w:t>灰度等级 gray level</w:t>
      </w:r>
    </w:p>
    <w:p w14:paraId="1FE44053">
      <w:pPr>
        <w:ind w:firstLine="420"/>
        <w:rPr>
          <w:rFonts w:hint="eastAsia" w:ascii="宋体" w:hAnsi="宋体" w:cs="Arial"/>
          <w:color w:val="333333"/>
          <w:kern w:val="0"/>
          <w:lang w:eastAsia="zh-Hans"/>
        </w:rPr>
      </w:pPr>
      <w:r>
        <w:rPr>
          <w:rFonts w:hint="eastAsia" w:ascii="宋体" w:hAnsi="宋体" w:cs="Arial"/>
          <w:color w:val="333333"/>
          <w:kern w:val="0"/>
          <w:lang w:eastAsia="zh-Hans"/>
        </w:rPr>
        <w:t>对</w:t>
      </w:r>
      <w:r>
        <w:rPr>
          <w:rFonts w:ascii="宋体" w:hAnsi="宋体" w:cs="Arial"/>
          <w:color w:val="333333"/>
          <w:kern w:val="0"/>
          <w:lang w:eastAsia="zh-Hans"/>
        </w:rPr>
        <w:t>X</w:t>
      </w:r>
      <w:r>
        <w:rPr>
          <w:rFonts w:hint="eastAsia" w:ascii="宋体" w:hAnsi="宋体" w:cs="Arial"/>
          <w:color w:val="333333"/>
          <w:kern w:val="0"/>
          <w:lang w:eastAsia="zh-Hans"/>
        </w:rPr>
        <w:t>射线数</w:t>
      </w:r>
      <w:r>
        <w:rPr>
          <w:rFonts w:hint="eastAsia" w:ascii="宋体" w:hAnsi="宋体" w:cs="Arial"/>
          <w:color w:val="333333"/>
          <w:kern w:val="0"/>
        </w:rPr>
        <w:t>字</w:t>
      </w:r>
      <w:r>
        <w:rPr>
          <w:rFonts w:hint="eastAsia" w:ascii="宋体" w:hAnsi="宋体" w:cs="Arial"/>
          <w:color w:val="333333"/>
          <w:kern w:val="0"/>
          <w:lang w:eastAsia="zh-Hans"/>
        </w:rPr>
        <w:t>成像系统获得的黑白图像明暗程度的定量描述，它由系统 A</w:t>
      </w:r>
      <w:r>
        <w:rPr>
          <w:rFonts w:ascii="宋体" w:hAnsi="宋体" w:cs="Arial"/>
          <w:color w:val="333333"/>
          <w:kern w:val="0"/>
          <w:lang w:eastAsia="zh-Hans"/>
        </w:rPr>
        <w:t>/</w:t>
      </w:r>
      <w:r>
        <w:rPr>
          <w:rFonts w:hint="eastAsia" w:ascii="宋体" w:hAnsi="宋体" w:cs="Arial"/>
          <w:color w:val="333333"/>
          <w:kern w:val="0"/>
          <w:lang w:eastAsia="zh-Hans"/>
        </w:rPr>
        <w:t>D转换器（模/数转换器）的位数决定。A/D转换器的位数越高，灰度等级越高。例如，A</w:t>
      </w:r>
      <w:r>
        <w:rPr>
          <w:rFonts w:ascii="宋体" w:hAnsi="宋体" w:cs="Arial"/>
          <w:color w:val="333333"/>
          <w:kern w:val="0"/>
          <w:lang w:eastAsia="zh-Hans"/>
        </w:rPr>
        <w:t>/</w:t>
      </w:r>
      <w:r>
        <w:rPr>
          <w:rFonts w:hint="eastAsia" w:ascii="宋体" w:hAnsi="宋体" w:cs="Arial"/>
          <w:color w:val="333333"/>
          <w:kern w:val="0"/>
          <w:lang w:eastAsia="zh-Hans"/>
        </w:rPr>
        <w:t>D 转换器为 12bit 时，采集的灰度等级为</w:t>
      </w:r>
      <w:r>
        <w:rPr>
          <w:rFonts w:hint="eastAsia" w:ascii="宋体" w:hAnsi="宋体" w:cs="Arial"/>
          <w:color w:val="333333"/>
          <w:kern w:val="0"/>
        </w:rPr>
        <w:t>2</w:t>
      </w:r>
      <w:r>
        <w:rPr>
          <w:rFonts w:hint="eastAsia" w:ascii="宋体" w:hAnsi="宋体" w:cs="Arial"/>
          <w:color w:val="333333"/>
          <w:kern w:val="0"/>
          <w:vertAlign w:val="superscript"/>
        </w:rPr>
        <w:t>12</w:t>
      </w:r>
      <w:r>
        <w:rPr>
          <w:rFonts w:hint="eastAsia" w:ascii="宋体" w:hAnsi="宋体" w:cs="Arial"/>
          <w:color w:val="333333"/>
          <w:kern w:val="0"/>
          <w:lang w:eastAsia="zh-Hans"/>
        </w:rPr>
        <w:t>=4096。</w:t>
      </w:r>
    </w:p>
    <w:p w14:paraId="1284771D">
      <w:pPr>
        <w:pStyle w:val="79"/>
        <w:spacing w:before="156" w:after="156"/>
        <w:ind w:left="0"/>
      </w:pPr>
    </w:p>
    <w:p w14:paraId="7EDA4788">
      <w:pPr>
        <w:ind w:firstLine="420"/>
        <w:rPr>
          <w:rFonts w:hint="eastAsia" w:ascii="宋体" w:hAnsi="宋体" w:cs="Arial"/>
          <w:color w:val="333333"/>
          <w:kern w:val="0"/>
        </w:rPr>
      </w:pPr>
      <w:r>
        <w:rPr>
          <w:rFonts w:hint="eastAsia" w:ascii="黑体" w:hAnsi="黑体" w:eastAsia="黑体"/>
        </w:rPr>
        <w:t>暗场图像 dark image</w:t>
      </w:r>
    </w:p>
    <w:p w14:paraId="16F72EDC">
      <w:pPr>
        <w:ind w:firstLine="420"/>
        <w:rPr>
          <w:rFonts w:hint="eastAsia" w:ascii="宋体" w:hAnsi="宋体" w:cs="Arial"/>
          <w:color w:val="333333"/>
          <w:kern w:val="0"/>
        </w:rPr>
      </w:pPr>
      <w:r>
        <w:rPr>
          <w:rFonts w:hint="eastAsia" w:ascii="宋体" w:hAnsi="宋体" w:cs="Arial"/>
          <w:color w:val="333333"/>
          <w:kern w:val="0"/>
        </w:rPr>
        <w:t>在无</w:t>
      </w:r>
      <w:r>
        <w:rPr>
          <w:rFonts w:ascii="宋体" w:hAnsi="宋体" w:cs="Arial"/>
          <w:color w:val="333333"/>
          <w:kern w:val="0"/>
        </w:rPr>
        <w:t>X</w:t>
      </w:r>
      <w:r>
        <w:rPr>
          <w:rFonts w:hint="eastAsia" w:ascii="宋体" w:hAnsi="宋体" w:cs="Arial"/>
          <w:color w:val="333333"/>
          <w:kern w:val="0"/>
        </w:rPr>
        <w:t>射线</w:t>
      </w:r>
      <w:r>
        <w:rPr>
          <w:rFonts w:hint="eastAsia" w:ascii="宋体" w:hAnsi="宋体" w:cs="Arial"/>
          <w:color w:val="333333"/>
          <w:kern w:val="0"/>
          <w:lang w:eastAsia="zh-Hans"/>
        </w:rPr>
        <w:t>透</w:t>
      </w:r>
      <w:r>
        <w:rPr>
          <w:rFonts w:hint="eastAsia" w:ascii="宋体" w:hAnsi="宋体" w:cs="Arial"/>
          <w:color w:val="333333"/>
          <w:kern w:val="0"/>
        </w:rPr>
        <w:t>照情況下输出的图像，也称为暗电流图像。</w:t>
      </w:r>
    </w:p>
    <w:p w14:paraId="23CD6A8A">
      <w:pPr>
        <w:pStyle w:val="79"/>
        <w:spacing w:before="156" w:after="156"/>
        <w:ind w:left="0"/>
      </w:pPr>
    </w:p>
    <w:p w14:paraId="1A7D07F4">
      <w:pPr>
        <w:ind w:firstLine="420"/>
        <w:rPr>
          <w:rFonts w:hint="eastAsia" w:ascii="宋体" w:hAnsi="宋体" w:cs="Arial"/>
          <w:color w:val="333333"/>
          <w:kern w:val="0"/>
        </w:rPr>
      </w:pPr>
      <w:r>
        <w:rPr>
          <w:rFonts w:hint="eastAsia" w:ascii="黑体" w:hAnsi="黑体" w:eastAsia="黑体"/>
        </w:rPr>
        <w:t>动态范围 dynamic range</w:t>
      </w:r>
    </w:p>
    <w:p w14:paraId="49A6CA9F">
      <w:pPr>
        <w:ind w:firstLine="420"/>
        <w:rPr>
          <w:rFonts w:hint="eastAsia" w:ascii="宋体" w:hAnsi="宋体" w:cs="Arial"/>
          <w:color w:val="333333"/>
          <w:kern w:val="0"/>
        </w:rPr>
      </w:pPr>
      <w:r>
        <w:rPr>
          <w:rFonts w:hint="eastAsia" w:ascii="宋体" w:hAnsi="宋体" w:cs="Arial"/>
          <w:color w:val="333333"/>
          <w:kern w:val="0"/>
        </w:rPr>
        <w:t>在线性输出范围内，X射线数字成像系统最大灰度值与暗场图像标准差的比值。</w:t>
      </w:r>
    </w:p>
    <w:p w14:paraId="1EB80B55">
      <w:pPr>
        <w:pStyle w:val="79"/>
        <w:spacing w:before="156" w:after="156"/>
        <w:ind w:left="0"/>
      </w:pPr>
    </w:p>
    <w:p w14:paraId="15977FFE">
      <w:pPr>
        <w:ind w:firstLine="420"/>
        <w:rPr>
          <w:rFonts w:hint="eastAsia" w:ascii="宋体" w:hAnsi="宋体" w:cs="Arial"/>
          <w:color w:val="333333"/>
          <w:kern w:val="0"/>
        </w:rPr>
      </w:pPr>
      <w:r>
        <w:rPr>
          <w:rFonts w:hint="eastAsia" w:ascii="黑体" w:hAnsi="黑体" w:eastAsia="黑体"/>
        </w:rPr>
        <w:t>响应不一致性 non-uniform responsivity</w:t>
      </w:r>
    </w:p>
    <w:p w14:paraId="7015EB04">
      <w:pPr>
        <w:ind w:firstLine="420"/>
        <w:rPr>
          <w:rFonts w:hint="eastAsia" w:ascii="宋体" w:hAnsi="宋体" w:cs="Arial"/>
          <w:color w:val="333333"/>
          <w:kern w:val="0"/>
        </w:rPr>
      </w:pPr>
      <w:r>
        <w:rPr>
          <w:rFonts w:hint="eastAsia" w:ascii="宋体" w:hAnsi="宋体" w:cs="Arial"/>
          <w:color w:val="333333"/>
          <w:kern w:val="0"/>
        </w:rPr>
        <w:t>探测器固有的特性，在均匀透照均质工件或空屏的条件下，由于探测器对x射线响应的不</w:t>
      </w:r>
      <w:r>
        <w:rPr>
          <w:rFonts w:hint="eastAsia" w:ascii="宋体" w:hAnsi="宋体" w:cs="Arial"/>
          <w:color w:val="333333"/>
          <w:kern w:val="0"/>
          <w:lang w:eastAsia="zh-Hans"/>
        </w:rPr>
        <w:t>一</w:t>
      </w:r>
      <w:r>
        <w:rPr>
          <w:rFonts w:hint="eastAsia" w:ascii="宋体" w:hAnsi="宋体" w:cs="Arial"/>
          <w:color w:val="333333"/>
          <w:kern w:val="0"/>
        </w:rPr>
        <w:t>致，致使输出图像亮度呈现非均匀性的条纹。</w:t>
      </w:r>
    </w:p>
    <w:p w14:paraId="13E5FE0E">
      <w:pPr>
        <w:pStyle w:val="79"/>
        <w:spacing w:before="156" w:after="156"/>
        <w:ind w:left="0"/>
      </w:pPr>
    </w:p>
    <w:p w14:paraId="79500D77">
      <w:pPr>
        <w:ind w:firstLine="420"/>
        <w:rPr>
          <w:rFonts w:hint="eastAsia" w:ascii="宋体" w:hAnsi="宋体" w:cs="Arial"/>
          <w:color w:val="333333"/>
          <w:kern w:val="0"/>
        </w:rPr>
      </w:pPr>
      <w:r>
        <w:rPr>
          <w:rFonts w:hint="eastAsia" w:ascii="黑体" w:hAnsi="黑体" w:eastAsia="黑体"/>
        </w:rPr>
        <w:t>坏像素 bad pixel</w:t>
      </w:r>
    </w:p>
    <w:p w14:paraId="0F2178C8">
      <w:pPr>
        <w:ind w:firstLine="420"/>
        <w:rPr>
          <w:rFonts w:hint="eastAsia" w:ascii="宋体" w:hAnsi="宋体" w:cs="Arial"/>
          <w:color w:val="333333"/>
          <w:kern w:val="0"/>
        </w:rPr>
      </w:pPr>
      <w:r>
        <w:rPr>
          <w:rFonts w:hint="eastAsia" w:ascii="宋体" w:hAnsi="宋体" w:cs="Arial"/>
          <w:color w:val="333333"/>
          <w:kern w:val="0"/>
        </w:rPr>
        <w:t>在暗场图像中出现比相邻像素灰度值过高或过低的白点或黑点。亦指校正后的图像，其输出值远离图像均值的异常点。坏</w:t>
      </w:r>
      <w:r>
        <w:rPr>
          <w:rFonts w:hint="eastAsia" w:ascii="宋体" w:hAnsi="宋体" w:cs="Arial"/>
          <w:color w:val="333333"/>
          <w:kern w:val="0"/>
          <w:lang w:eastAsia="zh-Hans"/>
        </w:rPr>
        <w:t>像素</w:t>
      </w:r>
      <w:r>
        <w:rPr>
          <w:rFonts w:hint="eastAsia" w:ascii="宋体" w:hAnsi="宋体" w:cs="Arial"/>
          <w:color w:val="333333"/>
          <w:kern w:val="0"/>
        </w:rPr>
        <w:t>的存在形式有：单点、两个相邻点和多个相邻点、几行或</w:t>
      </w:r>
      <w:r>
        <w:rPr>
          <w:rFonts w:hint="eastAsia" w:ascii="宋体" w:hAnsi="宋体" w:cs="Arial"/>
          <w:color w:val="333333"/>
          <w:kern w:val="0"/>
          <w:lang w:eastAsia="zh-Hans"/>
        </w:rPr>
        <w:t>几</w:t>
      </w:r>
      <w:r>
        <w:rPr>
          <w:rFonts w:hint="eastAsia" w:ascii="宋体" w:hAnsi="宋体" w:cs="Arial"/>
          <w:color w:val="333333"/>
          <w:kern w:val="0"/>
        </w:rPr>
        <w:t>列。</w:t>
      </w:r>
    </w:p>
    <w:p w14:paraId="12234F86">
      <w:pPr>
        <w:pStyle w:val="79"/>
        <w:spacing w:before="156" w:after="156"/>
        <w:ind w:left="0"/>
      </w:pPr>
    </w:p>
    <w:p w14:paraId="6FAE8A5D">
      <w:pPr>
        <w:ind w:firstLine="420"/>
        <w:rPr>
          <w:rFonts w:hint="eastAsia" w:ascii="宋体" w:hAnsi="宋体" w:cs="Arial"/>
          <w:color w:val="333333"/>
          <w:kern w:val="0"/>
        </w:rPr>
      </w:pPr>
      <w:r>
        <w:rPr>
          <w:rFonts w:hint="eastAsia" w:ascii="黑体" w:hAnsi="黑体" w:eastAsia="黑体"/>
        </w:rPr>
        <w:t>信噪比 signal noise ratio</w:t>
      </w:r>
    </w:p>
    <w:p w14:paraId="15FF04F4">
      <w:pPr>
        <w:ind w:firstLine="420"/>
        <w:rPr>
          <w:rFonts w:hint="eastAsia" w:ascii="宋体" w:hAnsi="宋体" w:cs="Arial"/>
          <w:color w:val="333333"/>
          <w:kern w:val="0"/>
        </w:rPr>
      </w:pPr>
      <w:r>
        <w:rPr>
          <w:rFonts w:hint="eastAsia" w:ascii="宋体" w:hAnsi="宋体" w:cs="Arial"/>
          <w:color w:val="333333"/>
          <w:kern w:val="0"/>
        </w:rPr>
        <w:t>图像感兴趣</w:t>
      </w:r>
      <w:r>
        <w:rPr>
          <w:rFonts w:hint="eastAsia" w:ascii="宋体" w:hAnsi="宋体" w:cs="Arial"/>
          <w:color w:val="333333"/>
          <w:kern w:val="0"/>
          <w:lang w:eastAsia="zh-Hans"/>
        </w:rPr>
        <w:t>区域</w:t>
      </w:r>
      <w:r>
        <w:rPr>
          <w:rFonts w:hint="eastAsia" w:ascii="宋体" w:hAnsi="宋体" w:cs="Arial"/>
          <w:color w:val="333333"/>
          <w:kern w:val="0"/>
        </w:rPr>
        <w:t>的信号平均值与信号标准差之比。</w:t>
      </w:r>
    </w:p>
    <w:p w14:paraId="736DBF28">
      <w:pPr>
        <w:pStyle w:val="79"/>
        <w:spacing w:before="156" w:after="156"/>
        <w:ind w:left="0"/>
      </w:pPr>
    </w:p>
    <w:p w14:paraId="544B5C6A">
      <w:pPr>
        <w:ind w:firstLine="420"/>
        <w:rPr>
          <w:rFonts w:hint="eastAsia" w:ascii="宋体" w:hAnsi="宋体" w:cs="Arial"/>
          <w:color w:val="333333"/>
          <w:kern w:val="0"/>
          <w:lang w:eastAsia="zh-Hans"/>
        </w:rPr>
      </w:pPr>
      <w:r>
        <w:rPr>
          <w:rFonts w:hint="eastAsia" w:ascii="黑体" w:hAnsi="黑体" w:eastAsia="黑体"/>
        </w:rPr>
        <w:t>静态成像 static imaging</w:t>
      </w:r>
    </w:p>
    <w:p w14:paraId="6A252426">
      <w:pPr>
        <w:ind w:firstLine="420"/>
        <w:rPr>
          <w:rFonts w:hint="eastAsia" w:ascii="宋体" w:hAnsi="宋体" w:cs="Arial"/>
          <w:color w:val="333333"/>
          <w:kern w:val="0"/>
        </w:rPr>
      </w:pPr>
      <w:r>
        <w:rPr>
          <w:rFonts w:hint="eastAsia" w:ascii="宋体" w:hAnsi="宋体" w:cs="Arial"/>
          <w:color w:val="333333"/>
          <w:kern w:val="0"/>
          <w:lang w:eastAsia="zh-Hans"/>
        </w:rPr>
        <w:t>检测</w:t>
      </w:r>
      <w:r>
        <w:rPr>
          <w:rFonts w:hint="eastAsia" w:ascii="宋体" w:hAnsi="宋体" w:cs="Arial"/>
          <w:color w:val="333333"/>
          <w:kern w:val="0"/>
        </w:rPr>
        <w:t>系統与被检工件无相对</w:t>
      </w:r>
      <w:r>
        <w:rPr>
          <w:rFonts w:hint="eastAsia" w:ascii="宋体" w:hAnsi="宋体" w:cs="Arial"/>
          <w:color w:val="333333"/>
          <w:kern w:val="0"/>
          <w:lang w:eastAsia="zh-Hans"/>
        </w:rPr>
        <w:t>连续</w:t>
      </w:r>
      <w:r>
        <w:rPr>
          <w:rFonts w:hint="eastAsia" w:ascii="宋体" w:hAnsi="宋体" w:cs="Arial"/>
          <w:color w:val="333333"/>
          <w:kern w:val="0"/>
        </w:rPr>
        <w:t>运动时的X射线数字成像，成像结果为单幅图像。</w:t>
      </w:r>
    </w:p>
    <w:p w14:paraId="2DE8B73F">
      <w:pPr>
        <w:pStyle w:val="79"/>
        <w:spacing w:before="156" w:after="156"/>
        <w:ind w:left="0"/>
      </w:pPr>
    </w:p>
    <w:p w14:paraId="53CAC5E0">
      <w:pPr>
        <w:ind w:firstLine="420"/>
        <w:rPr>
          <w:rFonts w:hint="eastAsia" w:ascii="宋体" w:hAnsi="宋体" w:cs="Arial"/>
          <w:color w:val="333333"/>
          <w:kern w:val="0"/>
        </w:rPr>
      </w:pPr>
      <w:r>
        <w:rPr>
          <w:rFonts w:hint="eastAsia" w:ascii="黑体" w:hAnsi="黑体" w:eastAsia="黑体"/>
        </w:rPr>
        <w:t>连续成像 dynamic imaging</w:t>
      </w:r>
    </w:p>
    <w:p w14:paraId="251601FC">
      <w:pPr>
        <w:ind w:firstLine="420"/>
        <w:rPr>
          <w:rFonts w:hint="eastAsia" w:ascii="宋体" w:hAnsi="宋体" w:cs="Arial"/>
          <w:color w:val="333333"/>
          <w:kern w:val="0"/>
        </w:rPr>
      </w:pPr>
      <w:r>
        <w:rPr>
          <w:rFonts w:hint="eastAsia" w:ascii="宋体" w:hAnsi="宋体" w:cs="Arial"/>
          <w:color w:val="333333"/>
          <w:kern w:val="0"/>
        </w:rPr>
        <w:t>检测系统与被检工件在相对连续运动状态下的</w:t>
      </w:r>
      <w:r>
        <w:rPr>
          <w:rFonts w:ascii="宋体" w:hAnsi="宋体" w:cs="Arial"/>
          <w:color w:val="333333"/>
          <w:kern w:val="0"/>
        </w:rPr>
        <w:t>X</w:t>
      </w:r>
      <w:r>
        <w:rPr>
          <w:rFonts w:hint="eastAsia" w:ascii="宋体" w:hAnsi="宋体" w:cs="Arial"/>
          <w:color w:val="333333"/>
          <w:kern w:val="0"/>
        </w:rPr>
        <w:t>射线数字成像，成像结果为序列图像。</w:t>
      </w:r>
    </w:p>
    <w:p w14:paraId="5856F1B1">
      <w:pPr>
        <w:pStyle w:val="79"/>
        <w:spacing w:before="156" w:after="156"/>
        <w:ind w:left="0"/>
      </w:pPr>
    </w:p>
    <w:p w14:paraId="1A8308A4">
      <w:pPr>
        <w:ind w:firstLine="420"/>
        <w:rPr>
          <w:rFonts w:hint="eastAsia" w:ascii="宋体" w:hAnsi="宋体" w:cs="Arial"/>
          <w:color w:val="333333"/>
          <w:kern w:val="0"/>
        </w:rPr>
      </w:pPr>
      <w:r>
        <w:rPr>
          <w:rFonts w:hint="eastAsia" w:ascii="黑体" w:hAnsi="黑体" w:eastAsia="黑体"/>
        </w:rPr>
        <w:t>极限分辨率 limiting resolution</w:t>
      </w:r>
    </w:p>
    <w:p w14:paraId="2FEF404A">
      <w:pPr>
        <w:ind w:firstLine="420"/>
        <w:rPr>
          <w:rFonts w:hint="eastAsia" w:ascii="宋体" w:hAnsi="宋体" w:cs="Arial"/>
          <w:color w:val="333333"/>
          <w:kern w:val="0"/>
        </w:rPr>
      </w:pPr>
      <w:r>
        <w:rPr>
          <w:rFonts w:hint="eastAsia" w:ascii="宋体" w:hAnsi="宋体" w:cs="Arial"/>
          <w:color w:val="333333"/>
          <w:kern w:val="0"/>
        </w:rPr>
        <w:t>在无物理（几何）放大的条件下，检测系统的最大</w:t>
      </w:r>
      <w:r>
        <w:rPr>
          <w:rFonts w:hint="eastAsia" w:ascii="宋体" w:hAnsi="宋体" w:cs="Arial"/>
          <w:color w:val="333333"/>
          <w:kern w:val="0"/>
          <w:lang w:eastAsia="zh-Hans"/>
        </w:rPr>
        <w:t>分辨</w:t>
      </w:r>
      <w:r>
        <w:rPr>
          <w:rFonts w:hint="eastAsia" w:ascii="宋体" w:hAnsi="宋体" w:cs="Arial"/>
          <w:color w:val="333333"/>
          <w:kern w:val="0"/>
        </w:rPr>
        <w:t>率。</w:t>
      </w:r>
    </w:p>
    <w:p w14:paraId="08822004">
      <w:pPr>
        <w:pStyle w:val="79"/>
        <w:spacing w:before="156" w:after="156"/>
        <w:ind w:left="0"/>
      </w:pPr>
    </w:p>
    <w:p w14:paraId="0312F7B9">
      <w:pPr>
        <w:ind w:firstLine="420"/>
        <w:rPr>
          <w:rFonts w:hint="eastAsia" w:ascii="宋体" w:hAnsi="宋体" w:cs="Arial"/>
          <w:color w:val="333333"/>
          <w:kern w:val="0"/>
        </w:rPr>
      </w:pPr>
      <w:r>
        <w:rPr>
          <w:rFonts w:hint="eastAsia" w:ascii="黑体" w:hAnsi="黑体" w:eastAsia="黑体"/>
        </w:rPr>
        <w:t>数字图像处理 digital image processing</w:t>
      </w:r>
    </w:p>
    <w:p w14:paraId="09B62583">
      <w:pPr>
        <w:ind w:firstLine="420"/>
        <w:rPr>
          <w:rFonts w:hint="eastAsia" w:ascii="宋体" w:hAnsi="宋体" w:cs="Arial"/>
          <w:color w:val="333333"/>
          <w:kern w:val="0"/>
        </w:rPr>
      </w:pPr>
      <w:r>
        <w:rPr>
          <w:rFonts w:hint="eastAsia" w:ascii="宋体" w:hAnsi="宋体" w:cs="Arial"/>
          <w:color w:val="333333"/>
          <w:kern w:val="0"/>
        </w:rPr>
        <w:t>提高</w:t>
      </w:r>
      <w:r>
        <w:rPr>
          <w:rFonts w:ascii="宋体" w:hAnsi="宋体" w:cs="Arial"/>
          <w:color w:val="333333"/>
          <w:kern w:val="0"/>
        </w:rPr>
        <w:t>X</w:t>
      </w:r>
      <w:r>
        <w:rPr>
          <w:rFonts w:hint="eastAsia" w:ascii="宋体" w:hAnsi="宋体" w:cs="Arial"/>
          <w:color w:val="333333"/>
          <w:kern w:val="0"/>
        </w:rPr>
        <w:t>射线数字图像的对比度、分辨率和细节识别能力的数字变换方法。</w:t>
      </w:r>
    </w:p>
    <w:p w14:paraId="2BC9DA00">
      <w:pPr>
        <w:pStyle w:val="79"/>
        <w:spacing w:before="156" w:after="156"/>
        <w:ind w:left="0"/>
      </w:pPr>
    </w:p>
    <w:p w14:paraId="79BD0070">
      <w:pPr>
        <w:ind w:firstLine="420"/>
        <w:rPr>
          <w:rFonts w:hint="eastAsia" w:ascii="宋体" w:hAnsi="宋体" w:cs="Arial"/>
          <w:color w:val="333333"/>
          <w:kern w:val="0"/>
          <w:lang w:val="fr-FR"/>
        </w:rPr>
      </w:pPr>
      <w:r>
        <w:rPr>
          <w:rFonts w:hint="eastAsia" w:ascii="黑体" w:hAnsi="黑体" w:eastAsia="黑体"/>
        </w:rPr>
        <w:t>非平面工件</w:t>
      </w:r>
      <w:r>
        <w:rPr>
          <w:rFonts w:hint="eastAsia" w:ascii="黑体" w:hAnsi="黑体" w:eastAsia="黑体"/>
          <w:lang w:val="fr-FR"/>
        </w:rPr>
        <w:t xml:space="preserve"> non planar object</w:t>
      </w:r>
    </w:p>
    <w:p w14:paraId="62C6C075">
      <w:pPr>
        <w:ind w:firstLine="420"/>
        <w:rPr>
          <w:rFonts w:hint="eastAsia" w:ascii="宋体" w:hAnsi="宋体" w:cs="Arial"/>
          <w:color w:val="333333"/>
          <w:kern w:val="0"/>
          <w:lang w:val="fr-FR"/>
        </w:rPr>
      </w:pPr>
      <w:r>
        <w:rPr>
          <w:rFonts w:hint="eastAsia" w:ascii="宋体" w:hAnsi="宋体" w:cs="Arial"/>
          <w:color w:val="333333"/>
          <w:kern w:val="0"/>
        </w:rPr>
        <w:t>本部分中描述的除平面工件外的其他工件。</w:t>
      </w:r>
    </w:p>
    <w:p w14:paraId="7DD24328">
      <w:pPr>
        <w:pStyle w:val="79"/>
        <w:spacing w:before="156" w:after="156"/>
        <w:ind w:left="0"/>
        <w:rPr>
          <w:lang w:val="fr-FR"/>
        </w:rPr>
      </w:pPr>
    </w:p>
    <w:p w14:paraId="06676300">
      <w:pPr>
        <w:ind w:firstLine="420" w:firstLineChars="200"/>
        <w:rPr>
          <w:rFonts w:ascii="Helvetica" w:hAnsi="Helvetica" w:cs="Helvetica"/>
          <w:color w:val="333333"/>
          <w:shd w:val="clear" w:color="auto" w:fill="FFFFFF"/>
        </w:rPr>
      </w:pPr>
      <w:r>
        <w:rPr>
          <w:rFonts w:hint="eastAsia" w:ascii="黑体" w:hAnsi="黑体" w:eastAsia="黑体"/>
        </w:rPr>
        <w:t xml:space="preserve">像质计 </w:t>
      </w:r>
      <w:r>
        <w:rPr>
          <w:rFonts w:ascii="黑体" w:hAnsi="黑体" w:eastAsia="黑体"/>
        </w:rPr>
        <w:t>image quality indicator</w:t>
      </w:r>
    </w:p>
    <w:p w14:paraId="474DA814">
      <w:pPr>
        <w:ind w:firstLine="420" w:firstLineChars="200"/>
        <w:rPr>
          <w:rFonts w:ascii="Helvetica" w:hAnsi="Helvetica" w:cs="Helvetica"/>
          <w:color w:val="333333"/>
          <w:shd w:val="clear" w:color="auto" w:fill="FFFFFF"/>
        </w:rPr>
      </w:pPr>
      <w:r>
        <w:rPr>
          <w:rFonts w:hint="eastAsia" w:ascii="Helvetica" w:hAnsi="Helvetica" w:cs="Helvetica"/>
          <w:color w:val="333333"/>
          <w:shd w:val="clear" w:color="auto" w:fill="FFFFFF"/>
        </w:rPr>
        <w:t>一般为储氢气瓶同样材质制作的用于</w:t>
      </w:r>
      <w:r>
        <w:rPr>
          <w:rFonts w:ascii="Helvetica" w:hAnsi="Helvetica" w:cs="Helvetica"/>
          <w:color w:val="333333"/>
          <w:shd w:val="clear" w:color="auto" w:fill="FFFFFF"/>
        </w:rPr>
        <w:t>测定</w:t>
      </w:r>
      <w:r>
        <w:rPr>
          <w:rFonts w:hint="eastAsia" w:ascii="宋体" w:hAnsi="宋体" w:cs="Arial"/>
          <w:color w:val="333333"/>
          <w:kern w:val="0"/>
        </w:rPr>
        <w:t>储氢气瓶X射线数字成像</w:t>
      </w:r>
      <w:r>
        <w:rPr>
          <w:rFonts w:ascii="Helvetica" w:hAnsi="Helvetica" w:cs="Helvetica"/>
          <w:color w:val="333333"/>
          <w:shd w:val="clear" w:color="auto" w:fill="FFFFFF"/>
        </w:rPr>
        <w:t>的</w:t>
      </w:r>
      <w:r>
        <w:fldChar w:fldCharType="begin"/>
      </w:r>
      <w:r>
        <w:instrText xml:space="preserve"> HYPERLINK "https://baike.baidu.com/item/%E5%B0%84%E7%BA%BF%E7%85%A7%E7%9B%B8/3277830" \t "_blank" </w:instrText>
      </w:r>
      <w:r>
        <w:fldChar w:fldCharType="separate"/>
      </w:r>
      <w:r>
        <w:rPr>
          <w:color w:val="333333"/>
        </w:rPr>
        <w:t>射线照相</w:t>
      </w:r>
      <w:r>
        <w:rPr>
          <w:color w:val="333333"/>
        </w:rPr>
        <w:fldChar w:fldCharType="end"/>
      </w:r>
      <w:r>
        <w:rPr>
          <w:rFonts w:ascii="Helvetica" w:hAnsi="Helvetica" w:cs="Helvetica"/>
          <w:color w:val="333333"/>
          <w:shd w:val="clear" w:color="auto" w:fill="FFFFFF"/>
        </w:rPr>
        <w:t>灵敏度的器件，根据在底片上显示的像质计的影像，可以判断底片影像的质量，并可评定透照技术</w:t>
      </w:r>
      <w:r>
        <w:rPr>
          <w:rFonts w:hint="eastAsia" w:ascii="Helvetica" w:hAnsi="Helvetica" w:cs="Helvetica"/>
          <w:color w:val="333333"/>
          <w:shd w:val="clear" w:color="auto" w:fill="FFFFFF"/>
        </w:rPr>
        <w:t>、</w:t>
      </w:r>
      <w:r>
        <w:rPr>
          <w:rFonts w:ascii="Helvetica" w:hAnsi="Helvetica" w:cs="Helvetica"/>
          <w:color w:val="333333"/>
          <w:shd w:val="clear" w:color="auto" w:fill="FFFFFF"/>
        </w:rPr>
        <w:t>缺陷检验能力等。</w:t>
      </w:r>
    </w:p>
    <w:p w14:paraId="0935E022">
      <w:pPr>
        <w:widowControl/>
        <w:adjustRightInd/>
        <w:spacing w:line="240" w:lineRule="auto"/>
        <w:rPr>
          <w:rFonts w:hint="eastAsia" w:ascii="黑体" w:hAnsi="黑体" w:eastAsia="黑体"/>
          <w:kern w:val="0"/>
          <w:szCs w:val="20"/>
        </w:rPr>
      </w:pPr>
    </w:p>
    <w:p w14:paraId="72E43C29">
      <w:pPr>
        <w:pStyle w:val="78"/>
        <w:spacing w:before="156" w:after="156"/>
      </w:pPr>
      <w:bookmarkStart w:id="192" w:name="_Toc127956156"/>
      <w:r>
        <w:rPr>
          <w:rFonts w:hint="eastAsia"/>
        </w:rPr>
        <w:t>一般要求</w:t>
      </w:r>
      <w:bookmarkEnd w:id="192"/>
    </w:p>
    <w:p w14:paraId="38E4D97F">
      <w:pPr>
        <w:pStyle w:val="79"/>
        <w:spacing w:before="156" w:after="156"/>
        <w:ind w:left="0"/>
      </w:pPr>
      <w:r>
        <w:rPr>
          <w:rFonts w:hint="eastAsia"/>
        </w:rPr>
        <w:t>检测人员</w:t>
      </w:r>
    </w:p>
    <w:p w14:paraId="3E78A67E">
      <w:pPr>
        <w:pStyle w:val="213"/>
        <w:ind w:left="0"/>
      </w:pPr>
      <w:r>
        <w:rPr>
          <w:rFonts w:hint="eastAsia"/>
        </w:rPr>
        <w:t>从事X射线数字成像检测的人员，上岗前应参加国家规定的辐射安全知识培训，并按照有关法规的要求取得相应证书。</w:t>
      </w:r>
    </w:p>
    <w:p w14:paraId="359802F2">
      <w:pPr>
        <w:pStyle w:val="213"/>
        <w:ind w:left="0"/>
      </w:pPr>
      <w:r>
        <w:rPr>
          <w:rFonts w:hint="eastAsia"/>
        </w:rPr>
        <w:t>从事X射线数字成像检测的人员，应取得TSG Z8001-2019所要求的无损检测X射线数字成像检测专项资格，方可进行相应项目的检测工作</w:t>
      </w:r>
    </w:p>
    <w:p w14:paraId="23B5C938">
      <w:pPr>
        <w:pStyle w:val="213"/>
        <w:ind w:left="0"/>
      </w:pPr>
      <w:r>
        <w:rPr>
          <w:rFonts w:hint="eastAsia"/>
        </w:rPr>
        <w:t>检测人员应了解与X射线数字成像技术相关的计算机知识、数字图像处理知识，掌握相应的计算机基本操作方法。</w:t>
      </w:r>
    </w:p>
    <w:p w14:paraId="0FF531E1">
      <w:pPr>
        <w:pStyle w:val="79"/>
        <w:spacing w:before="156" w:after="156"/>
        <w:ind w:left="0"/>
      </w:pPr>
      <w:r>
        <w:rPr>
          <w:rFonts w:hint="eastAsia"/>
        </w:rPr>
        <w:t>检测系统与器材</w:t>
      </w:r>
    </w:p>
    <w:p w14:paraId="4C87319F">
      <w:pPr>
        <w:pStyle w:val="213"/>
        <w:ind w:left="0"/>
      </w:pPr>
      <w:r>
        <w:rPr>
          <w:rFonts w:hint="eastAsia"/>
        </w:rPr>
        <w:t>X射线机</w:t>
      </w:r>
    </w:p>
    <w:p w14:paraId="79877308">
      <w:pPr>
        <w:pStyle w:val="214"/>
        <w:ind w:left="0"/>
      </w:pPr>
      <w:r>
        <w:rPr>
          <w:rFonts w:hint="eastAsia"/>
        </w:rPr>
        <w:t>应根据被检工件的厚度和焦距大小，选择X射线机的能量范围。</w:t>
      </w:r>
    </w:p>
    <w:p w14:paraId="5C54E4AD">
      <w:pPr>
        <w:pStyle w:val="214"/>
        <w:ind w:left="0"/>
      </w:pPr>
      <w:r>
        <w:rPr>
          <w:rFonts w:hint="eastAsia"/>
        </w:rPr>
        <w:t>焦点的选择应与所采用的探测器相匹配。</w:t>
      </w:r>
    </w:p>
    <w:p w14:paraId="3FD5BAE8">
      <w:pPr>
        <w:pStyle w:val="214"/>
        <w:ind w:left="0"/>
      </w:pPr>
      <w:r>
        <w:rPr>
          <w:rFonts w:hint="eastAsia"/>
        </w:rPr>
        <w:t>采用的X射线机，其性能指标应满足JB/T 11608的规定，使用性能测试条件及测试方法参考GB/T26594 和GB/T26592的规定。</w:t>
      </w:r>
    </w:p>
    <w:p w14:paraId="05702C01">
      <w:pPr>
        <w:pStyle w:val="213"/>
        <w:ind w:left="0"/>
      </w:pPr>
      <w:r>
        <w:rPr>
          <w:rFonts w:hint="eastAsia"/>
        </w:rPr>
        <w:t>探测器系统</w:t>
      </w:r>
    </w:p>
    <w:p w14:paraId="3B54CE0C">
      <w:pPr>
        <w:pStyle w:val="214"/>
        <w:ind w:left="0"/>
      </w:pPr>
      <w:r>
        <w:rPr>
          <w:rFonts w:hint="eastAsia"/>
        </w:rPr>
        <w:t>包含面阵列探測器、线阵列探测器及其配件等。</w:t>
      </w:r>
    </w:p>
    <w:p w14:paraId="3F71783A">
      <w:pPr>
        <w:pStyle w:val="214"/>
        <w:ind w:left="0"/>
      </w:pPr>
      <w:r>
        <w:rPr>
          <w:rFonts w:hint="eastAsia"/>
        </w:rPr>
        <w:t>动态范国应不小于2000:1。</w:t>
      </w:r>
    </w:p>
    <w:p w14:paraId="7F1E290D">
      <w:pPr>
        <w:pStyle w:val="214"/>
        <w:ind w:left="0"/>
      </w:pPr>
      <w:r>
        <w:rPr>
          <w:rFonts w:hint="eastAsia"/>
        </w:rPr>
        <w:t>A/D转换位数不小于12bit。</w:t>
      </w:r>
    </w:p>
    <w:p w14:paraId="4319CBB6">
      <w:pPr>
        <w:pStyle w:val="214"/>
        <w:ind w:left="0"/>
      </w:pPr>
      <w:r>
        <w:rPr>
          <w:rFonts w:hint="eastAsia"/>
        </w:rPr>
        <w:t>坏像素要求：面阵列探测器3×3像素区域中，相邻坏像素不得超过3个；成行（成列）坏像素不得超过3个，且不得位于距离中心位置200像素以内；成像区域内坏像素不超过总像素的1%。线阵列探测器中，相邻的坏像素不允许超过2个。探测器系统供应商应提供出厂坏像素表和坏像素校正方法。</w:t>
      </w:r>
    </w:p>
    <w:p w14:paraId="4FA8E5D9">
      <w:pPr>
        <w:pStyle w:val="214"/>
        <w:ind w:left="0"/>
      </w:pPr>
      <w:r>
        <w:rPr>
          <w:rFonts w:hint="eastAsia"/>
        </w:rPr>
        <w:t>应按照具体的探测器系统规定的图像校正方法，对探测器进行校正。</w:t>
      </w:r>
    </w:p>
    <w:p w14:paraId="1D86A2C8">
      <w:pPr>
        <w:pStyle w:val="214"/>
        <w:ind w:left="0"/>
      </w:pPr>
      <w:r>
        <w:rPr>
          <w:rFonts w:hint="eastAsia"/>
        </w:rPr>
        <w:t>探测器系统性能指标如：坏像素、对比灵敏度、分辨率、信噪比、线性范围、厚度宽容度、残影等，其测试条件及测试方法按相应国家或行业标准的规定执行。</w:t>
      </w:r>
    </w:p>
    <w:p w14:paraId="511F8A2D">
      <w:pPr>
        <w:pStyle w:val="214"/>
        <w:ind w:left="0"/>
      </w:pPr>
      <w:r>
        <w:rPr>
          <w:rFonts w:hint="eastAsia"/>
        </w:rPr>
        <w:t>探测器系统质量合格证中至少应给出探测器类型、转换屏参数（如有）、像素尺寸、成像面积、射线能量适用范围、量子转换效率、填充因子、采集帧频等技术参数。</w:t>
      </w:r>
    </w:p>
    <w:p w14:paraId="4204D10A">
      <w:pPr>
        <w:pStyle w:val="213"/>
        <w:ind w:left="0"/>
      </w:pPr>
      <w:r>
        <w:rPr>
          <w:rFonts w:hint="eastAsia"/>
        </w:rPr>
        <w:t>计算机系统</w:t>
      </w:r>
    </w:p>
    <w:p w14:paraId="4DD44DA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计算机系统的基本配置依据采用的X射线数字成像部件对性能和速度的要求面确定。宜配备不低于512MB容量的内存，不低于40GB的硬盘，高亮度高分辨率显示器以及刻录机、网卡等。</w:t>
      </w:r>
    </w:p>
    <w:p w14:paraId="64B4553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显示器应满足如下最低要求</w:t>
      </w:r>
    </w:p>
    <w:p w14:paraId="7535EC61">
      <w:pPr>
        <w:pStyle w:val="174"/>
        <w:numPr>
          <w:ilvl w:val="0"/>
          <w:numId w:val="72"/>
        </w:numPr>
      </w:pPr>
      <w:r>
        <w:rPr>
          <w:rFonts w:hint="eastAsia"/>
        </w:rPr>
        <w:t>亮度不低于250cd/m2;</w:t>
      </w:r>
    </w:p>
    <w:p w14:paraId="30BA376E">
      <w:pPr>
        <w:pStyle w:val="174"/>
      </w:pPr>
      <w:r>
        <w:rPr>
          <w:rFonts w:hint="eastAsia"/>
        </w:rPr>
        <w:t>灰度等级不小于8bit;</w:t>
      </w:r>
    </w:p>
    <w:p w14:paraId="72ED49E7">
      <w:pPr>
        <w:pStyle w:val="174"/>
      </w:pPr>
      <w:r>
        <w:rPr>
          <w:rFonts w:hint="eastAsia"/>
        </w:rPr>
        <w:t>图像显示分辨率不低于1024×768；</w:t>
      </w:r>
    </w:p>
    <w:p w14:paraId="1439260C">
      <w:pPr>
        <w:pStyle w:val="174"/>
      </w:pPr>
      <w:r>
        <w:rPr>
          <w:rFonts w:hint="eastAsia"/>
        </w:rPr>
        <w:t>显示器像素点距不高于0.3mm。</w:t>
      </w:r>
    </w:p>
    <w:p w14:paraId="6F75490A">
      <w:pPr>
        <w:pStyle w:val="213"/>
        <w:ind w:left="0"/>
      </w:pPr>
      <w:r>
        <w:rPr>
          <w:rFonts w:hint="eastAsia"/>
        </w:rPr>
        <w:t>系统软件要求</w:t>
      </w:r>
    </w:p>
    <w:p w14:paraId="017FE4B2">
      <w:pPr>
        <w:pStyle w:val="214"/>
        <w:ind w:left="0"/>
      </w:pPr>
      <w:r>
        <w:rPr>
          <w:rFonts w:hint="eastAsia"/>
        </w:rPr>
        <w:t>系统软件是X射线数字成像系统的核心单元，完成图像采集、图像处理、缺陷几何尺寸测量、缺陷标注、图像存储、辅助评定和检测报告打印及其它辅助功能，是保证检测准确性和安全性的重要因素。</w:t>
      </w:r>
    </w:p>
    <w:p w14:paraId="22752F0C">
      <w:pPr>
        <w:pStyle w:val="214"/>
        <w:ind w:left="0"/>
      </w:pPr>
      <w:r>
        <w:rPr>
          <w:rFonts w:hint="eastAsia"/>
        </w:rPr>
        <w:t>应包含叠加降噪、改变窗宽窗位和对比度增强等基本数字图像处理功能。</w:t>
      </w:r>
    </w:p>
    <w:p w14:paraId="049AA38D">
      <w:pPr>
        <w:pStyle w:val="214"/>
        <w:ind w:left="0"/>
      </w:pPr>
      <w:r>
        <w:rPr>
          <w:rFonts w:hint="eastAsia"/>
        </w:rPr>
        <w:t>应包括信噪比测量、缺陷标记、尺寸测量、尺寸标定功能。</w:t>
      </w:r>
    </w:p>
    <w:p w14:paraId="3B80FC14">
      <w:pPr>
        <w:pStyle w:val="214"/>
        <w:ind w:left="0"/>
      </w:pPr>
      <w:r>
        <w:rPr>
          <w:rFonts w:hint="eastAsia"/>
        </w:rPr>
        <w:t>宜具有不小于4倍的放大功能。</w:t>
      </w:r>
    </w:p>
    <w:p w14:paraId="5E534EA9">
      <w:pPr>
        <w:pStyle w:val="214"/>
        <w:ind w:left="0"/>
      </w:pPr>
      <w:r>
        <w:rPr>
          <w:rFonts w:hint="eastAsia"/>
        </w:rPr>
        <w:t>应具备采集图像的相关信息的浏览和查找功能。</w:t>
      </w:r>
    </w:p>
    <w:p w14:paraId="3CFDA52D">
      <w:pPr>
        <w:pStyle w:val="214"/>
        <w:ind w:left="0"/>
      </w:pPr>
      <w:r>
        <w:rPr>
          <w:rFonts w:hint="eastAsia"/>
        </w:rPr>
        <w:t>可自动生成检测报告</w:t>
      </w:r>
    </w:p>
    <w:p w14:paraId="69B68BE2">
      <w:pPr>
        <w:pStyle w:val="214"/>
        <w:ind w:left="0"/>
      </w:pPr>
      <w:r>
        <w:rPr>
          <w:rFonts w:hint="eastAsia"/>
        </w:rPr>
        <w:t>应存储原始图像，观察、评定时允许进行相关处理。</w:t>
      </w:r>
    </w:p>
    <w:p w14:paraId="1B214375">
      <w:pPr>
        <w:pStyle w:val="214"/>
        <w:ind w:left="0"/>
      </w:pPr>
      <w:r>
        <w:rPr>
          <w:rFonts w:hint="eastAsia"/>
        </w:rPr>
        <w:t>对原始图像采用滤波等图像处理时，应经合同双方协商同意，并有相关文档记录。</w:t>
      </w:r>
    </w:p>
    <w:p w14:paraId="662597A0">
      <w:pPr>
        <w:pStyle w:val="214"/>
        <w:ind w:left="0"/>
      </w:pPr>
      <w:r>
        <w:rPr>
          <w:rFonts w:hint="eastAsia"/>
        </w:rPr>
        <w:t>其他特殊要求应由合同双方协商确定。</w:t>
      </w:r>
    </w:p>
    <w:p w14:paraId="4B36B0D6">
      <w:pPr>
        <w:pStyle w:val="213"/>
        <w:ind w:left="0"/>
      </w:pPr>
      <w:r>
        <w:rPr>
          <w:rFonts w:hint="eastAsia"/>
        </w:rPr>
        <w:t>检测工装</w:t>
      </w:r>
    </w:p>
    <w:p w14:paraId="0C2AE82C">
      <w:pPr>
        <w:pStyle w:val="214"/>
        <w:ind w:left="0"/>
      </w:pPr>
      <w:r>
        <w:rPr>
          <w:rFonts w:hint="eastAsia"/>
        </w:rPr>
        <w:t>应根据被检工件进行设计，并满足检测要求。</w:t>
      </w:r>
    </w:p>
    <w:p w14:paraId="65199F12">
      <w:pPr>
        <w:pStyle w:val="214"/>
        <w:ind w:left="0"/>
      </w:pPr>
      <w:r>
        <w:rPr>
          <w:rFonts w:hint="eastAsia"/>
        </w:rPr>
        <w:t>应根据被检工件的重量，选择检测工装的承载能力。</w:t>
      </w:r>
    </w:p>
    <w:p w14:paraId="22F8737F">
      <w:pPr>
        <w:pStyle w:val="214"/>
        <w:ind w:left="0"/>
      </w:pPr>
      <w:r>
        <w:rPr>
          <w:rFonts w:hint="eastAsia"/>
        </w:rPr>
        <w:t>宜有平移、旋转、速度连续可调等功能，并保证较高运转精度和稳定性。</w:t>
      </w:r>
    </w:p>
    <w:p w14:paraId="30738F94">
      <w:pPr>
        <w:pStyle w:val="214"/>
        <w:ind w:left="0"/>
      </w:pPr>
      <w:r>
        <w:rPr>
          <w:rFonts w:hint="eastAsia"/>
        </w:rPr>
        <w:t>如采取数字成像连续检测技术，检测工装的运动应与探测器的数据采集同步。</w:t>
      </w:r>
    </w:p>
    <w:p w14:paraId="5C57DC55">
      <w:pPr>
        <w:pStyle w:val="213"/>
        <w:ind w:left="0"/>
      </w:pPr>
      <w:r>
        <w:rPr>
          <w:rFonts w:hint="eastAsia"/>
        </w:rPr>
        <w:t>像质计</w:t>
      </w:r>
    </w:p>
    <w:p w14:paraId="31AC923B">
      <w:pPr>
        <w:pStyle w:val="214"/>
        <w:ind w:left="0"/>
      </w:pPr>
      <w:r>
        <w:rPr>
          <w:rFonts w:hint="eastAsia"/>
        </w:rPr>
        <w:t>本部分采用的像质计包括阶梯孔型像质计和双线型像质计。</w:t>
      </w:r>
    </w:p>
    <w:p w14:paraId="4472A3BF">
      <w:pPr>
        <w:pStyle w:val="214"/>
        <w:ind w:left="0"/>
      </w:pPr>
      <w:r>
        <w:rPr>
          <w:rFonts w:hint="eastAsia"/>
        </w:rPr>
        <w:t>阶梯孔型像质计的型号和规格应符合GB/T 23901.2的规定，双线型像质计的型号和规格应符合GB/T 23901.5的规定。</w:t>
      </w:r>
    </w:p>
    <w:p w14:paraId="7D00A6B5">
      <w:pPr>
        <w:pStyle w:val="214"/>
        <w:ind w:left="0"/>
      </w:pPr>
      <w:r>
        <w:rPr>
          <w:rFonts w:hint="eastAsia"/>
        </w:rPr>
        <w:t>像质计材料应选择与被检测储氢气瓶同样或近似材质进行制作，制作后应对所制作像质计进行量值溯源。</w:t>
      </w:r>
    </w:p>
    <w:p w14:paraId="1D08632B">
      <w:pPr>
        <w:pStyle w:val="213"/>
        <w:ind w:left="0"/>
      </w:pPr>
      <w:r>
        <w:rPr>
          <w:rFonts w:hint="eastAsia"/>
        </w:rPr>
        <w:t>检测系统使用性能</w:t>
      </w:r>
    </w:p>
    <w:p w14:paraId="65D1345F">
      <w:pPr>
        <w:widowControl/>
        <w:adjustRightInd/>
        <w:spacing w:line="240" w:lineRule="auto"/>
        <w:ind w:firstLine="420"/>
        <w:rPr>
          <w:rFonts w:ascii="宋体" w:hAnsi="Times New Roman"/>
          <w:kern w:val="0"/>
          <w:szCs w:val="20"/>
        </w:rPr>
      </w:pPr>
      <w:r>
        <w:rPr>
          <w:rFonts w:hint="eastAsia" w:ascii="宋体" w:hAnsi="Times New Roman"/>
          <w:kern w:val="0"/>
          <w:szCs w:val="20"/>
        </w:rPr>
        <w:t>应结合被检工件和本部分要求，根据检测系统各部分性能指标选择合适的检测设备和器材，并提供满足上述设备和器材性能指标及系统软件功能的测试证明文件。检测系统的使用性能应满足本部分规定的图像质量要求。</w:t>
      </w:r>
    </w:p>
    <w:p w14:paraId="25D312DB">
      <w:pPr>
        <w:pStyle w:val="213"/>
        <w:ind w:left="0"/>
      </w:pPr>
      <w:r>
        <w:rPr>
          <w:rFonts w:hint="eastAsia"/>
        </w:rPr>
        <w:t>校准或运行核查</w:t>
      </w:r>
    </w:p>
    <w:p w14:paraId="2D871614">
      <w:pPr>
        <w:pStyle w:val="214"/>
        <w:ind w:left="0"/>
      </w:pPr>
      <w:r>
        <w:rPr>
          <w:rFonts w:hint="eastAsia"/>
        </w:rPr>
        <w:t>每年至少对探测器系统性能中的坏像素、线性范围、信噪比、厚度宽容度、残影等进行1次校准并记录。</w:t>
      </w:r>
    </w:p>
    <w:p w14:paraId="3266D1C9">
      <w:pPr>
        <w:pStyle w:val="214"/>
        <w:ind w:left="0"/>
      </w:pPr>
      <w:r>
        <w:rPr>
          <w:rFonts w:hint="eastAsia"/>
        </w:rPr>
        <w:t>每年至少应对使用中的曝光曲线进行1次核查。当射线机重要部件更换或经过修理后，应重新制作曝光曲线。</w:t>
      </w:r>
    </w:p>
    <w:p w14:paraId="2D8AE1AA">
      <w:pPr>
        <w:pStyle w:val="214"/>
        <w:ind w:left="0"/>
      </w:pPr>
      <w:r>
        <w:rPr>
          <w:rFonts w:hint="eastAsia"/>
        </w:rPr>
        <w:t>每3个月至少对探测器坏像素进行1次核查，并记录和校正。</w:t>
      </w:r>
    </w:p>
    <w:p w14:paraId="440001D6">
      <w:pPr>
        <w:pStyle w:val="214"/>
        <w:ind w:left="0"/>
      </w:pPr>
      <w:r>
        <w:rPr>
          <w:rFonts w:hint="eastAsia"/>
        </w:rPr>
        <w:t>存在如下情况应进行系统分辨率核查并记录，核查方法按附录A执行。</w:t>
      </w:r>
    </w:p>
    <w:p w14:paraId="4F5348BB">
      <w:pPr>
        <w:pStyle w:val="174"/>
        <w:numPr>
          <w:ilvl w:val="0"/>
          <w:numId w:val="73"/>
        </w:numPr>
      </w:pPr>
      <w:r>
        <w:rPr>
          <w:rFonts w:hint="eastAsia"/>
        </w:rPr>
        <w:t>检测系统有改变时；</w:t>
      </w:r>
    </w:p>
    <w:p w14:paraId="491A0D8B">
      <w:pPr>
        <w:pStyle w:val="174"/>
      </w:pPr>
      <w:r>
        <w:rPr>
          <w:rFonts w:hint="eastAsia"/>
        </w:rPr>
        <w:t>正常使用条件下，每3个月应至少核查一次；</w:t>
      </w:r>
    </w:p>
    <w:p w14:paraId="07865EA6">
      <w:pPr>
        <w:pStyle w:val="174"/>
      </w:pPr>
      <w:r>
        <w:rPr>
          <w:rFonts w:hint="eastAsia"/>
        </w:rPr>
        <w:t>在系统停止使用一个月后重新使用时。</w:t>
      </w:r>
    </w:p>
    <w:p w14:paraId="48E9AEEA">
      <w:pPr>
        <w:pStyle w:val="79"/>
        <w:spacing w:before="156" w:after="156"/>
        <w:ind w:left="0"/>
      </w:pPr>
      <w:r>
        <w:rPr>
          <w:rFonts w:hint="eastAsia"/>
        </w:rPr>
        <w:t xml:space="preserve">检测工艺文件 </w:t>
      </w:r>
    </w:p>
    <w:p w14:paraId="47E83215">
      <w:pPr>
        <w:pStyle w:val="213"/>
        <w:ind w:left="0"/>
      </w:pPr>
      <w:r>
        <w:rPr>
          <w:rFonts w:hint="eastAsia"/>
        </w:rPr>
        <w:t>检测工艺文件包括工艺规程和操作指导书</w:t>
      </w:r>
    </w:p>
    <w:p w14:paraId="31D618C3">
      <w:pPr>
        <w:pStyle w:val="213"/>
        <w:ind w:left="0"/>
      </w:pPr>
      <w:r>
        <w:rPr>
          <w:rFonts w:hint="eastAsia"/>
        </w:rPr>
        <w:t>工艺规程的内容应至少包含如下相关因素和要求：</w:t>
      </w:r>
    </w:p>
    <w:p w14:paraId="7D80AF1A">
      <w:pPr>
        <w:pStyle w:val="77"/>
        <w:spacing w:before="156" w:after="156"/>
      </w:pPr>
      <w:r>
        <w:rPr>
          <w:rFonts w:hint="eastAsia"/>
        </w:rPr>
        <w:t>工艺规程涉及的相关因素</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3"/>
        <w:gridCol w:w="6491"/>
      </w:tblGrid>
      <w:tr w14:paraId="5FC59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4CCA7679">
            <w:pPr>
              <w:jc w:val="center"/>
              <w:rPr>
                <w:rFonts w:hint="eastAsia" w:ascii="宋体" w:hAnsi="宋体"/>
              </w:rPr>
            </w:pPr>
            <w:r>
              <w:rPr>
                <w:rFonts w:hint="eastAsia" w:ascii="宋体" w:hAnsi="宋体"/>
              </w:rPr>
              <w:t>序号</w:t>
            </w:r>
          </w:p>
        </w:tc>
        <w:tc>
          <w:tcPr>
            <w:tcW w:w="6491" w:type="dxa"/>
            <w:vAlign w:val="center"/>
          </w:tcPr>
          <w:p w14:paraId="0E2FEDE1">
            <w:pPr>
              <w:jc w:val="center"/>
              <w:rPr>
                <w:rFonts w:hint="eastAsia" w:ascii="宋体" w:hAnsi="宋体"/>
              </w:rPr>
            </w:pPr>
            <w:r>
              <w:rPr>
                <w:rFonts w:hint="eastAsia" w:ascii="宋体" w:hAnsi="宋体"/>
              </w:rPr>
              <w:t>相关因素</w:t>
            </w:r>
          </w:p>
        </w:tc>
      </w:tr>
      <w:tr w14:paraId="25E7A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3A1D04BE">
            <w:pPr>
              <w:jc w:val="center"/>
              <w:rPr>
                <w:rFonts w:hint="eastAsia" w:ascii="宋体" w:hAnsi="宋体"/>
              </w:rPr>
            </w:pPr>
            <w:r>
              <w:rPr>
                <w:rFonts w:hint="eastAsia" w:ascii="宋体" w:hAnsi="宋体"/>
              </w:rPr>
              <w:t>1</w:t>
            </w:r>
          </w:p>
        </w:tc>
        <w:tc>
          <w:tcPr>
            <w:tcW w:w="6491" w:type="dxa"/>
            <w:vAlign w:val="center"/>
          </w:tcPr>
          <w:p w14:paraId="064BD2EE">
            <w:pPr>
              <w:jc w:val="center"/>
              <w:rPr>
                <w:rFonts w:hint="eastAsia" w:ascii="宋体" w:hAnsi="宋体"/>
              </w:rPr>
            </w:pPr>
            <w:r>
              <w:rPr>
                <w:rFonts w:hint="eastAsia" w:ascii="宋体" w:hAnsi="宋体"/>
              </w:rPr>
              <w:t>被检测工件的类型、规格（形状、尺寸、壁厚和材质）</w:t>
            </w:r>
          </w:p>
        </w:tc>
      </w:tr>
      <w:tr w14:paraId="6E7C0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435071CA">
            <w:pPr>
              <w:jc w:val="center"/>
              <w:rPr>
                <w:rFonts w:hint="eastAsia" w:ascii="宋体" w:hAnsi="宋体"/>
              </w:rPr>
            </w:pPr>
            <w:r>
              <w:rPr>
                <w:rFonts w:hint="eastAsia" w:ascii="宋体" w:hAnsi="宋体"/>
              </w:rPr>
              <w:t>2</w:t>
            </w:r>
          </w:p>
        </w:tc>
        <w:tc>
          <w:tcPr>
            <w:tcW w:w="6491" w:type="dxa"/>
            <w:vAlign w:val="center"/>
          </w:tcPr>
          <w:p w14:paraId="002A3691">
            <w:pPr>
              <w:jc w:val="center"/>
              <w:rPr>
                <w:rFonts w:hint="eastAsia" w:ascii="宋体" w:hAnsi="宋体"/>
              </w:rPr>
            </w:pPr>
            <w:r>
              <w:rPr>
                <w:rFonts w:hint="eastAsia" w:ascii="宋体" w:hAnsi="宋体"/>
              </w:rPr>
              <w:t>依据的法规、标准</w:t>
            </w:r>
          </w:p>
        </w:tc>
      </w:tr>
      <w:tr w14:paraId="4B0C3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27136F8B">
            <w:pPr>
              <w:jc w:val="center"/>
              <w:rPr>
                <w:rFonts w:hint="eastAsia" w:ascii="宋体" w:hAnsi="宋体"/>
              </w:rPr>
            </w:pPr>
            <w:r>
              <w:rPr>
                <w:rFonts w:hint="eastAsia" w:ascii="宋体" w:hAnsi="宋体"/>
              </w:rPr>
              <w:t>3</w:t>
            </w:r>
          </w:p>
        </w:tc>
        <w:tc>
          <w:tcPr>
            <w:tcW w:w="6491" w:type="dxa"/>
            <w:vAlign w:val="center"/>
          </w:tcPr>
          <w:p w14:paraId="2FAAEB28">
            <w:pPr>
              <w:jc w:val="center"/>
              <w:rPr>
                <w:rFonts w:hint="eastAsia" w:ascii="宋体" w:hAnsi="宋体"/>
              </w:rPr>
            </w:pPr>
            <w:r>
              <w:rPr>
                <w:rFonts w:hint="eastAsia" w:ascii="宋体" w:hAnsi="宋体"/>
              </w:rPr>
              <w:t>检测设备器材以及校准、核查、运行核查或检查的要求</w:t>
            </w:r>
          </w:p>
        </w:tc>
      </w:tr>
      <w:tr w14:paraId="1440F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2ED4A7C3">
            <w:pPr>
              <w:jc w:val="center"/>
              <w:rPr>
                <w:rFonts w:hint="eastAsia" w:ascii="宋体" w:hAnsi="宋体"/>
              </w:rPr>
            </w:pPr>
            <w:r>
              <w:rPr>
                <w:rFonts w:hint="eastAsia" w:ascii="宋体" w:hAnsi="宋体"/>
              </w:rPr>
              <w:t>4</w:t>
            </w:r>
          </w:p>
        </w:tc>
        <w:tc>
          <w:tcPr>
            <w:tcW w:w="6491" w:type="dxa"/>
            <w:vAlign w:val="center"/>
          </w:tcPr>
          <w:p w14:paraId="2F34B643">
            <w:pPr>
              <w:jc w:val="center"/>
              <w:rPr>
                <w:rFonts w:hint="eastAsia" w:ascii="宋体" w:hAnsi="宋体"/>
              </w:rPr>
            </w:pPr>
            <w:r>
              <w:rPr>
                <w:rFonts w:hint="eastAsia" w:ascii="宋体" w:hAnsi="宋体"/>
              </w:rPr>
              <w:t>检测工艺(透照方式、透照参数、几何参数、运动参数等)</w:t>
            </w:r>
          </w:p>
        </w:tc>
      </w:tr>
      <w:tr w14:paraId="2F40E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1BDDFD51">
            <w:pPr>
              <w:jc w:val="center"/>
              <w:rPr>
                <w:rFonts w:hint="eastAsia" w:ascii="宋体" w:hAnsi="宋体"/>
              </w:rPr>
            </w:pPr>
            <w:r>
              <w:rPr>
                <w:rFonts w:hint="eastAsia" w:ascii="宋体" w:hAnsi="宋体"/>
              </w:rPr>
              <w:t>5</w:t>
            </w:r>
          </w:p>
        </w:tc>
        <w:tc>
          <w:tcPr>
            <w:tcW w:w="6491" w:type="dxa"/>
            <w:vAlign w:val="center"/>
          </w:tcPr>
          <w:p w14:paraId="2E4BDBED">
            <w:pPr>
              <w:jc w:val="center"/>
              <w:rPr>
                <w:rFonts w:hint="eastAsia" w:ascii="宋体" w:hAnsi="宋体"/>
              </w:rPr>
            </w:pPr>
            <w:r>
              <w:rPr>
                <w:rFonts w:hint="eastAsia" w:ascii="宋体" w:hAnsi="宋体"/>
              </w:rPr>
              <w:t>工艺试验报告</w:t>
            </w:r>
          </w:p>
        </w:tc>
      </w:tr>
      <w:tr w14:paraId="2DBC8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3" w:type="dxa"/>
            <w:vAlign w:val="center"/>
          </w:tcPr>
          <w:p w14:paraId="6733775A">
            <w:pPr>
              <w:jc w:val="center"/>
              <w:rPr>
                <w:rFonts w:hint="eastAsia" w:ascii="宋体" w:hAnsi="宋体"/>
              </w:rPr>
            </w:pPr>
            <w:r>
              <w:rPr>
                <w:rFonts w:hint="eastAsia" w:ascii="宋体" w:hAnsi="宋体"/>
              </w:rPr>
              <w:t>6</w:t>
            </w:r>
          </w:p>
        </w:tc>
        <w:tc>
          <w:tcPr>
            <w:tcW w:w="6491" w:type="dxa"/>
            <w:vAlign w:val="center"/>
          </w:tcPr>
          <w:p w14:paraId="3C769EF2">
            <w:pPr>
              <w:jc w:val="center"/>
              <w:rPr>
                <w:rFonts w:hint="eastAsia" w:ascii="宋体" w:hAnsi="宋体"/>
              </w:rPr>
            </w:pPr>
            <w:r>
              <w:rPr>
                <w:rFonts w:hint="eastAsia" w:ascii="宋体" w:hAnsi="宋体"/>
              </w:rPr>
              <w:t>缺陷评定与质量分级</w:t>
            </w:r>
          </w:p>
        </w:tc>
      </w:tr>
    </w:tbl>
    <w:p w14:paraId="35D200DF">
      <w:pPr>
        <w:widowControl/>
        <w:autoSpaceDE w:val="0"/>
        <w:autoSpaceDN w:val="0"/>
        <w:adjustRightInd/>
        <w:spacing w:line="240" w:lineRule="auto"/>
        <w:ind w:firstLine="420" w:firstLineChars="200"/>
        <w:rPr>
          <w:rFonts w:ascii="宋体" w:hAnsi="Times New Roman"/>
          <w:kern w:val="0"/>
          <w:szCs w:val="20"/>
        </w:rPr>
      </w:pPr>
    </w:p>
    <w:p w14:paraId="54782F92">
      <w:pPr>
        <w:pStyle w:val="213"/>
        <w:ind w:left="0"/>
      </w:pPr>
      <w:r>
        <w:rPr>
          <w:rFonts w:hint="eastAsia"/>
        </w:rPr>
        <w:t>应根据工艺规程的内容以及被检工件的检测要求编制操作指导书，其内容应至少包括如下内容：</w:t>
      </w:r>
    </w:p>
    <w:p w14:paraId="21C5D599">
      <w:pPr>
        <w:pStyle w:val="174"/>
        <w:numPr>
          <w:ilvl w:val="0"/>
          <w:numId w:val="74"/>
        </w:numPr>
      </w:pPr>
      <w:r>
        <w:rPr>
          <w:rFonts w:hint="eastAsia"/>
        </w:rPr>
        <w:t>检测设备器材(包括：X射线机(规格)、探测器(规格)、滤波板、像质计、标记、检测工装、计算机、显示器、系统软件等)；</w:t>
      </w:r>
    </w:p>
    <w:p w14:paraId="3DA01517">
      <w:pPr>
        <w:pStyle w:val="174"/>
      </w:pPr>
      <w:r>
        <w:rPr>
          <w:rFonts w:hint="eastAsia"/>
        </w:rPr>
        <w:t>检测工艺参数（包括：管电压、曝光量、透照几何参数、滤波板材质与厚度、检测设备与检测区域的相对位置、被检工件运动形式和速度、透照方式等）；</w:t>
      </w:r>
    </w:p>
    <w:p w14:paraId="4155EA46">
      <w:pPr>
        <w:pStyle w:val="174"/>
      </w:pPr>
      <w:r>
        <w:rPr>
          <w:rFonts w:hint="eastAsia"/>
        </w:rPr>
        <w:t>检测标识规定；</w:t>
      </w:r>
    </w:p>
    <w:p w14:paraId="18094DE2">
      <w:pPr>
        <w:pStyle w:val="174"/>
      </w:pPr>
      <w:r>
        <w:rPr>
          <w:rFonts w:hint="eastAsia"/>
        </w:rPr>
        <w:t>检测操作程序；</w:t>
      </w:r>
    </w:p>
    <w:p w14:paraId="37FD9166">
      <w:pPr>
        <w:pStyle w:val="174"/>
      </w:pPr>
      <w:r>
        <w:rPr>
          <w:rFonts w:hint="eastAsia"/>
        </w:rPr>
        <w:t>检测记录；</w:t>
      </w:r>
    </w:p>
    <w:p w14:paraId="15BFB5AC">
      <w:pPr>
        <w:pStyle w:val="174"/>
      </w:pPr>
      <w:r>
        <w:rPr>
          <w:rFonts w:hint="eastAsia"/>
        </w:rPr>
        <w:t>图像评定(包括：灰度、信噪比、图像分辨率、图像灵敏度、标记等)；</w:t>
      </w:r>
    </w:p>
    <w:p w14:paraId="76A94320">
      <w:pPr>
        <w:pStyle w:val="174"/>
      </w:pPr>
      <w:r>
        <w:rPr>
          <w:rFonts w:hint="eastAsia"/>
        </w:rPr>
        <w:t>检测质量的等级。</w:t>
      </w:r>
    </w:p>
    <w:p w14:paraId="568112F1">
      <w:pPr>
        <w:pStyle w:val="213"/>
        <w:ind w:left="0"/>
      </w:pPr>
      <w:r>
        <w:rPr>
          <w:rFonts w:hint="eastAsia"/>
        </w:rPr>
        <w:t>操作指导书的工艺验证</w:t>
      </w:r>
    </w:p>
    <w:p w14:paraId="30C08C2E">
      <w:pPr>
        <w:pStyle w:val="214"/>
        <w:ind w:left="0"/>
      </w:pPr>
      <w:r>
        <w:rPr>
          <w:rFonts w:hint="eastAsia"/>
        </w:rPr>
        <w:t>操作指导书在首次应用前应进行工艺验证。</w:t>
      </w:r>
    </w:p>
    <w:p w14:paraId="65CE9860">
      <w:pPr>
        <w:pStyle w:val="214"/>
        <w:ind w:left="0"/>
      </w:pPr>
      <w:r>
        <w:rPr>
          <w:rFonts w:hint="eastAsia"/>
        </w:rPr>
        <w:t>验证的方式可以采用像质计、模拟试块或实际检测对象进行。</w:t>
      </w:r>
    </w:p>
    <w:p w14:paraId="41B888A5">
      <w:pPr>
        <w:pStyle w:val="214"/>
        <w:ind w:left="0"/>
      </w:pPr>
      <w:r>
        <w:rPr>
          <w:rFonts w:hint="eastAsia"/>
        </w:rPr>
        <w:t>验证可通过专门的透照试验进行，或以产品的第一批图像作为验证依据。在这两种情况下，作为依据的验证图像均应做出标识。</w:t>
      </w:r>
    </w:p>
    <w:p w14:paraId="5F5EFFC0">
      <w:pPr>
        <w:pStyle w:val="79"/>
        <w:spacing w:before="156" w:after="156"/>
        <w:ind w:left="0"/>
      </w:pPr>
      <w:r>
        <w:rPr>
          <w:rFonts w:hint="eastAsia"/>
        </w:rPr>
        <w:t>安全要求</w:t>
      </w:r>
    </w:p>
    <w:p w14:paraId="5A865279">
      <w:pPr>
        <w:pStyle w:val="213"/>
        <w:ind w:left="0"/>
      </w:pPr>
      <w:r>
        <w:rPr>
          <w:rFonts w:hint="eastAsia"/>
        </w:rPr>
        <w:t>检测环境应满足系统运行对环境(温度、湿度、接地、电磁辐射、振动等)的要求。</w:t>
      </w:r>
    </w:p>
    <w:p w14:paraId="6E16D11C">
      <w:pPr>
        <w:pStyle w:val="213"/>
        <w:ind w:left="0"/>
      </w:pPr>
      <w:r>
        <w:rPr>
          <w:rFonts w:hint="eastAsia"/>
        </w:rPr>
        <w:t>X射线辐射防护条件应符合GB 18871和GBZ 117的有关规定。</w:t>
      </w:r>
    </w:p>
    <w:p w14:paraId="7C610140">
      <w:pPr>
        <w:pStyle w:val="213"/>
        <w:ind w:left="0"/>
      </w:pPr>
      <w:r>
        <w:rPr>
          <w:rFonts w:hint="eastAsia"/>
        </w:rPr>
        <w:t>现场进行X射线数字成像检测时，应按GBZ 117的规定划定控制区和管理区，设置警告标志，检测人员应佩戴个人剂量计，并携带剂量报警仪。</w:t>
      </w:r>
    </w:p>
    <w:p w14:paraId="5050A726">
      <w:pPr>
        <w:pStyle w:val="78"/>
        <w:spacing w:before="156" w:after="156"/>
      </w:pPr>
      <w:bookmarkStart w:id="193" w:name="_Toc127956157"/>
      <w:r>
        <w:rPr>
          <w:rFonts w:hint="eastAsia"/>
        </w:rPr>
        <w:t>检测方法</w:t>
      </w:r>
      <w:bookmarkEnd w:id="193"/>
    </w:p>
    <w:p w14:paraId="412930BA">
      <w:pPr>
        <w:pStyle w:val="79"/>
        <w:spacing w:before="156" w:after="156"/>
        <w:ind w:left="0"/>
      </w:pPr>
      <w:r>
        <w:rPr>
          <w:rFonts w:hint="eastAsia"/>
        </w:rPr>
        <w:t>透照方式</w:t>
      </w:r>
    </w:p>
    <w:p w14:paraId="643F13D4">
      <w:pPr>
        <w:pStyle w:val="213"/>
        <w:ind w:left="0"/>
      </w:pPr>
      <w:r>
        <w:rPr>
          <w:rFonts w:hint="eastAsia"/>
        </w:rPr>
        <w:t>应根据被检工件结构特点和技术条件的要求选择双壁透照方式。典型的透照方式参见附录B。</w:t>
      </w:r>
    </w:p>
    <w:p w14:paraId="62E8980F">
      <w:pPr>
        <w:pStyle w:val="213"/>
        <w:ind w:left="0"/>
      </w:pPr>
      <w:r>
        <w:rPr>
          <w:rFonts w:hint="eastAsia"/>
        </w:rPr>
        <w:t>采用连续成像方式采集图像时，应保证被检工件的运动速度与图像采集帧频相匹配，同时应保证X射线主射束垂直(或对准)透照被检工件并到达探测器的有效成像区城。</w:t>
      </w:r>
    </w:p>
    <w:p w14:paraId="101E74CF">
      <w:pPr>
        <w:pStyle w:val="213"/>
        <w:ind w:left="0"/>
      </w:pPr>
      <w:r>
        <w:rPr>
          <w:rFonts w:hint="eastAsia"/>
        </w:rPr>
        <w:t>采用静态成像方式采集图像时，图像采集的重叠区域长度应不小于10mm。</w:t>
      </w:r>
    </w:p>
    <w:p w14:paraId="7B73D840">
      <w:pPr>
        <w:pStyle w:val="79"/>
        <w:spacing w:before="156" w:after="156"/>
        <w:ind w:left="0"/>
      </w:pPr>
      <w:r>
        <w:rPr>
          <w:rFonts w:hint="eastAsia"/>
        </w:rPr>
        <w:t>成像几何参数的选择</w:t>
      </w:r>
    </w:p>
    <w:p w14:paraId="263C1227">
      <w:pPr>
        <w:pStyle w:val="213"/>
        <w:ind w:left="0"/>
      </w:pPr>
      <w:r>
        <w:rPr>
          <w:rFonts w:hint="eastAsia"/>
        </w:rPr>
        <w:t>所选用的X射线机至被检工件表面的距离f应满足下述要求：f≥10d•b2/3；</w:t>
      </w:r>
    </w:p>
    <w:p w14:paraId="6991223B">
      <w:pPr>
        <w:adjustRightInd/>
        <w:spacing w:line="240" w:lineRule="auto"/>
        <w:jc w:val="center"/>
        <w:rPr>
          <w:rFonts w:ascii="宋体" w:hAnsi="Times New Roman"/>
          <w:kern w:val="0"/>
          <w:szCs w:val="20"/>
        </w:rPr>
      </w:pPr>
      <w:r>
        <w:rPr>
          <w:rFonts w:ascii="宋体" w:hAnsi="宋体"/>
          <w:kern w:val="0"/>
        </w:rPr>
        <w:drawing>
          <wp:inline distT="0" distB="0" distL="0" distR="0">
            <wp:extent cx="2095500" cy="17926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0" cstate="print"/>
                    <a:stretch>
                      <a:fillRect/>
                    </a:stretch>
                  </pic:blipFill>
                  <pic:spPr>
                    <a:xfrm>
                      <a:off x="0" y="0"/>
                      <a:ext cx="2118153" cy="1811914"/>
                    </a:xfrm>
                    <a:prstGeom prst="rect">
                      <a:avLst/>
                    </a:prstGeom>
                  </pic:spPr>
                </pic:pic>
              </a:graphicData>
            </a:graphic>
          </wp:inline>
        </w:drawing>
      </w:r>
    </w:p>
    <w:p w14:paraId="7FDB16E2">
      <w:pPr>
        <w:pStyle w:val="83"/>
        <w:spacing w:before="156" w:after="156"/>
      </w:pPr>
      <w:r>
        <w:rPr>
          <w:rFonts w:hint="eastAsia"/>
        </w:rPr>
        <w:t>成像几何透照示意图</w:t>
      </w:r>
    </w:p>
    <w:p w14:paraId="1309DA0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说明：1—探测器；2—被检工件；b：被检工件表面到探测器的距离；d：有效焦点尺寸。</w:t>
      </w:r>
    </w:p>
    <w:p w14:paraId="7BFF31F6">
      <w:pPr>
        <w:pStyle w:val="213"/>
        <w:ind w:left="0"/>
      </w:pPr>
      <w:r>
        <w:rPr>
          <w:rFonts w:hint="eastAsia"/>
        </w:rPr>
        <w:t>透照几何参数的估算</w:t>
      </w:r>
    </w:p>
    <w:p w14:paraId="082C934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理论上，对于给定的检测系統，可由式（1）计算最佳放大倍数。</w:t>
      </w:r>
    </w:p>
    <w:p w14:paraId="311A7CE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 </w:t>
      </w:r>
    </w:p>
    <w:p w14:paraId="60379F8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式中：</w:t>
      </w:r>
    </w:p>
    <w:p w14:paraId="50EF316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M0—最佳放大倍数；</w:t>
      </w:r>
    </w:p>
    <w:p w14:paraId="0346AA2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d—焦点尺寸；</w:t>
      </w:r>
    </w:p>
    <w:p w14:paraId="48F9CE4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Uc—探测器固有不清晰度（约等于探测器像素大小的2倍）。</w:t>
      </w:r>
    </w:p>
    <w:p w14:paraId="326AE07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式（2）给出了图像分辨率与透照几何参数之间的关系，对于给定的检测系统和被检工件，可结合实际检测工况，基于式（2）选择系统宜采用的透照几何参数。</w:t>
      </w:r>
    </w:p>
    <w:p w14:paraId="49323D4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 </w:t>
      </w:r>
    </w:p>
    <w:p w14:paraId="2766876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式中：</w:t>
      </w:r>
    </w:p>
    <w:p w14:paraId="2365E28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M—放大倍数［计算见式（3）］；</w:t>
      </w:r>
    </w:p>
    <w:p w14:paraId="16B0E41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Ug—几何不清晰度；</w:t>
      </w:r>
    </w:p>
    <w:p w14:paraId="1B29ED1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Ur—应达到的图像分辨力（约等于应分辨的双丝丝径的2倍）。</w:t>
      </w:r>
    </w:p>
    <w:p w14:paraId="327861F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 </w:t>
      </w:r>
    </w:p>
    <w:p w14:paraId="4F52404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式中；</w:t>
      </w:r>
    </w:p>
    <w:p w14:paraId="2179BD7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F—X射机至探测器的距离：</w:t>
      </w:r>
    </w:p>
    <w:p w14:paraId="5665480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f—X射线机至被检工件表面的距离。</w:t>
      </w:r>
    </w:p>
    <w:p w14:paraId="068831CC">
      <w:pPr>
        <w:pStyle w:val="79"/>
        <w:spacing w:before="156" w:after="156"/>
        <w:ind w:left="0"/>
      </w:pPr>
      <w:r>
        <w:rPr>
          <w:rFonts w:hint="eastAsia"/>
        </w:rPr>
        <w:t>透照方向</w:t>
      </w:r>
    </w:p>
    <w:p w14:paraId="31EB140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透照时X射线束中心应垂直指向透照区中心，需要时可选用有利于发现缺陷的方向透照。</w:t>
      </w:r>
    </w:p>
    <w:p w14:paraId="226B73B5">
      <w:pPr>
        <w:pStyle w:val="79"/>
        <w:spacing w:before="156" w:after="156"/>
        <w:ind w:left="0"/>
      </w:pPr>
      <w:r>
        <w:rPr>
          <w:rFonts w:hint="eastAsia"/>
        </w:rPr>
        <w:t>透照次数的确定</w:t>
      </w:r>
    </w:p>
    <w:p w14:paraId="0F42BE9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对于曲面外径大干100mm，且小于探测器有效成像尺寸的被检工件，在满足透照厚度比K值为1.2规定的前提下，一次透照有效长度不大于被检工件内径，且图像灰度值应满足6.2.3的要求。</w:t>
      </w:r>
    </w:p>
    <w:p w14:paraId="0E95BC63">
      <w:pPr>
        <w:pStyle w:val="79"/>
        <w:spacing w:before="156" w:after="156"/>
        <w:ind w:left="0"/>
      </w:pPr>
      <w:r>
        <w:rPr>
          <w:rFonts w:hint="eastAsia"/>
        </w:rPr>
        <w:t>透照参数的选择</w:t>
      </w:r>
    </w:p>
    <w:p w14:paraId="2168D12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实际检测时应根据采用的X射线数字成像系统和被检工件的特点，选择适当的X射线能量、曝光量等参数，以满足检测要求。</w:t>
      </w:r>
    </w:p>
    <w:p w14:paraId="4D2D4918">
      <w:pPr>
        <w:pStyle w:val="213"/>
        <w:ind w:left="0"/>
      </w:pPr>
      <w:r>
        <w:rPr>
          <w:rFonts w:hint="eastAsia"/>
        </w:rPr>
        <w:t>X射线能量</w:t>
      </w:r>
    </w:p>
    <w:p w14:paraId="5D59FBD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应尽量选用较低的管电压。在采用较高管电压时，应保证适当的曝光量。图2规定了不同透照厚度允许采用的最高管电压。对于不等厚工件在保证图像质量符合本部分的要求下，管电压可适当高于图2限定值。</w:t>
      </w:r>
    </w:p>
    <w:p w14:paraId="601ED33F">
      <w:pPr>
        <w:widowControl/>
        <w:autoSpaceDE w:val="0"/>
        <w:autoSpaceDN w:val="0"/>
        <w:adjustRightInd/>
        <w:spacing w:line="240" w:lineRule="auto"/>
        <w:jc w:val="center"/>
        <w:rPr>
          <w:rFonts w:ascii="宋体" w:hAnsi="Times New Roman"/>
          <w:kern w:val="0"/>
          <w:szCs w:val="20"/>
        </w:rPr>
      </w:pPr>
      <w:r>
        <w:rPr>
          <w:rFonts w:ascii="宋体" w:hAnsi="宋体" w:cs="Arial"/>
          <w:color w:val="333333"/>
          <w:kern w:val="0"/>
        </w:rPr>
        <w:drawing>
          <wp:inline distT="0" distB="0" distL="0" distR="0">
            <wp:extent cx="3841750" cy="1809750"/>
            <wp:effectExtent l="4445" t="5080" r="20955" b="1397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99B12EC">
      <w:pPr>
        <w:pStyle w:val="83"/>
        <w:spacing w:before="156" w:after="156"/>
      </w:pPr>
      <w:r>
        <w:rPr>
          <w:rFonts w:hint="eastAsia"/>
        </w:rPr>
        <w:t>不同透照厚度允许的X射线最高透照管电压</w:t>
      </w:r>
    </w:p>
    <w:p w14:paraId="2491E77B">
      <w:pPr>
        <w:pStyle w:val="213"/>
        <w:ind w:left="0"/>
      </w:pPr>
      <w:r>
        <w:rPr>
          <w:rFonts w:hint="eastAsia"/>
        </w:rPr>
        <w:t>曝光量</w:t>
      </w:r>
    </w:p>
    <w:p w14:paraId="0C6A0E10">
      <w:pPr>
        <w:pStyle w:val="214"/>
        <w:ind w:left="0"/>
      </w:pPr>
      <w:r>
        <w:rPr>
          <w:rFonts w:hint="eastAsia"/>
        </w:rPr>
        <w:t>曝光量等于有效曝光时间和管电流的乘积，用mA•s表示。</w:t>
      </w:r>
    </w:p>
    <w:p w14:paraId="5BAA2E03">
      <w:pPr>
        <w:pStyle w:val="214"/>
        <w:ind w:left="0"/>
      </w:pPr>
      <w:r>
        <w:rPr>
          <w:rFonts w:hint="eastAsia"/>
        </w:rPr>
        <w:t>可通过增加曝光量提高信噪比、提高图像质量。</w:t>
      </w:r>
    </w:p>
    <w:p w14:paraId="2AB41DC1">
      <w:pPr>
        <w:pStyle w:val="214"/>
        <w:ind w:left="0"/>
      </w:pPr>
      <w:r>
        <w:rPr>
          <w:rFonts w:hint="eastAsia"/>
        </w:rPr>
        <w:t>在满足图像质量、检测速度和检测效率要求前提下，可选择较低的曝光量。</w:t>
      </w:r>
    </w:p>
    <w:p w14:paraId="5AE647D5">
      <w:pPr>
        <w:pStyle w:val="214"/>
        <w:ind w:left="0"/>
      </w:pPr>
      <w:r>
        <w:rPr>
          <w:rFonts w:hint="eastAsia"/>
        </w:rPr>
        <w:t>在实际检测时，应按照检测速度、检测设备和检测质量的要求，通过协调影响曝光量的参数来选择合适的曝光量。</w:t>
      </w:r>
    </w:p>
    <w:p w14:paraId="4F5EA499">
      <w:pPr>
        <w:pStyle w:val="174"/>
        <w:numPr>
          <w:ilvl w:val="0"/>
          <w:numId w:val="75"/>
        </w:numPr>
      </w:pPr>
      <w:r>
        <w:rPr>
          <w:rFonts w:hint="eastAsia"/>
        </w:rPr>
        <w:t>面阵列探测器可通过合理选择采集帧频、图像叠加幅数和管电流来控制曝光量；</w:t>
      </w:r>
    </w:p>
    <w:p w14:paraId="7CDD62D6">
      <w:pPr>
        <w:pStyle w:val="174"/>
      </w:pPr>
      <w:r>
        <w:rPr>
          <w:rFonts w:hint="eastAsia"/>
        </w:rPr>
        <w:t>线阵列探测器可通过合理选择曝光时间和管电流来控制曝光量。</w:t>
      </w:r>
    </w:p>
    <w:p w14:paraId="5425A31A">
      <w:pPr>
        <w:pStyle w:val="79"/>
        <w:spacing w:before="156" w:after="156"/>
        <w:ind w:left="0"/>
      </w:pPr>
      <w:r>
        <w:rPr>
          <w:rFonts w:hint="eastAsia"/>
        </w:rPr>
        <w:t>标记</w:t>
      </w:r>
    </w:p>
    <w:p w14:paraId="42EF03EC">
      <w:pPr>
        <w:pStyle w:val="213"/>
        <w:ind w:left="0"/>
      </w:pPr>
      <w:r>
        <w:rPr>
          <w:rFonts w:hint="eastAsia"/>
        </w:rPr>
        <w:t>透照部位的标记由识别和定位标记组成。</w:t>
      </w:r>
    </w:p>
    <w:p w14:paraId="667648A7">
      <w:pPr>
        <w:pStyle w:val="213"/>
        <w:ind w:left="0"/>
      </w:pPr>
      <w:r>
        <w:rPr>
          <w:rFonts w:hint="eastAsia"/>
        </w:rPr>
        <w:t>识别标记一般包括产品编号、储氢气瓶编号、部位编号和透照日期。识别标记可由计算机写入。</w:t>
      </w:r>
    </w:p>
    <w:p w14:paraId="62CE194A">
      <w:pPr>
        <w:pStyle w:val="213"/>
        <w:ind w:left="0"/>
      </w:pPr>
      <w:r>
        <w:rPr>
          <w:rFonts w:hint="eastAsia"/>
        </w:rPr>
        <w:t>定位标记一般包括中心标记“ ”和搭接标记“↑”及有效评定区矩形框标记。中心标记指示透照部位区段的中心位置和分段编号的方向。搭接标记是透照分段标记，一般由适当尺寸的铅制或其他适宜的重金属制数字、拼音字母和符号等构成。当铅制搭接标记用数字或字母表示时，可省去中心标记。</w:t>
      </w:r>
    </w:p>
    <w:p w14:paraId="17AD17EF">
      <w:pPr>
        <w:pStyle w:val="213"/>
        <w:ind w:left="0"/>
      </w:pPr>
      <w:r>
        <w:rPr>
          <w:rFonts w:hint="eastAsia"/>
        </w:rPr>
        <w:t>对于连续成像检测，在检测的起始位置做定位标记“ ”，其中“→”指向检调方向，可利用数字或字表示分段标记。对瓶体检测可按顺时针方向用记号笔进行标识；对瓶底可按左到右方式进行标识，同时应与图像标记匹配。</w:t>
      </w:r>
    </w:p>
    <w:p w14:paraId="667BDC73">
      <w:pPr>
        <w:pStyle w:val="213"/>
        <w:ind w:left="0"/>
      </w:pPr>
      <w:r>
        <w:rPr>
          <w:rFonts w:hint="eastAsia"/>
        </w:rPr>
        <w:t>标记一般应放置在评定区边缘至少5mm以外的部位。所有标记的影像不应重叠，且不应有干扰有效评定范围内的影像。</w:t>
      </w:r>
    </w:p>
    <w:p w14:paraId="38C5238F">
      <w:pPr>
        <w:pStyle w:val="79"/>
        <w:spacing w:before="156" w:after="156"/>
        <w:ind w:left="0"/>
      </w:pPr>
      <w:r>
        <w:rPr>
          <w:rFonts w:hint="eastAsia"/>
        </w:rPr>
        <w:t>表面处理</w:t>
      </w:r>
    </w:p>
    <w:p w14:paraId="7DF2017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检测前应清理被检工件处可能掩盖或干扰缺陷影像的异物。</w:t>
      </w:r>
    </w:p>
    <w:p w14:paraId="482FD866">
      <w:pPr>
        <w:pStyle w:val="79"/>
        <w:spacing w:before="156" w:after="156"/>
        <w:ind w:left="0"/>
      </w:pPr>
      <w:r>
        <w:rPr>
          <w:rFonts w:hint="eastAsia"/>
        </w:rPr>
        <w:t>无用X射线和散射线屏蔽</w:t>
      </w:r>
    </w:p>
    <w:p w14:paraId="6E8D9FB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应采用滤波板、准直器（光阑）、铅箔、铅板等适当指施，减少散射线和无用X射线。</w:t>
      </w:r>
    </w:p>
    <w:p w14:paraId="4A340C96">
      <w:pPr>
        <w:widowControl/>
        <w:autoSpaceDE w:val="0"/>
        <w:autoSpaceDN w:val="0"/>
        <w:adjustRightInd/>
        <w:spacing w:line="240" w:lineRule="auto"/>
        <w:ind w:firstLine="420" w:firstLineChars="200"/>
        <w:rPr>
          <w:rFonts w:ascii="宋体" w:hAnsi="Times New Roman"/>
          <w:kern w:val="0"/>
          <w:szCs w:val="20"/>
        </w:rPr>
      </w:pPr>
    </w:p>
    <w:p w14:paraId="49D3B4D4">
      <w:pPr>
        <w:pStyle w:val="78"/>
        <w:spacing w:before="156" w:after="156"/>
      </w:pPr>
      <w:bookmarkStart w:id="194" w:name="_Toc127956158"/>
      <w:r>
        <w:rPr>
          <w:rFonts w:hint="eastAsia"/>
        </w:rPr>
        <w:t>图像质量及评定</w:t>
      </w:r>
      <w:bookmarkEnd w:id="194"/>
    </w:p>
    <w:p w14:paraId="59CCF6CA">
      <w:pPr>
        <w:pStyle w:val="79"/>
        <w:spacing w:before="156" w:after="156"/>
        <w:ind w:left="0"/>
      </w:pPr>
      <w:r>
        <w:rPr>
          <w:rFonts w:hint="eastAsia"/>
        </w:rPr>
        <w:t>图像质量</w:t>
      </w:r>
    </w:p>
    <w:p w14:paraId="2724920E">
      <w:pPr>
        <w:pStyle w:val="213"/>
        <w:ind w:left="0"/>
      </w:pPr>
      <w:r>
        <w:rPr>
          <w:rFonts w:hint="eastAsia"/>
        </w:rPr>
        <w:t>一般要求</w:t>
      </w:r>
    </w:p>
    <w:p w14:paraId="4103E16D">
      <w:pPr>
        <w:pStyle w:val="214"/>
        <w:ind w:left="0"/>
      </w:pPr>
      <w:r>
        <w:rPr>
          <w:rFonts w:hint="eastAsia"/>
        </w:rPr>
        <w:t>应同时保证图像灵敏度和图像分辨率的要求。</w:t>
      </w:r>
    </w:p>
    <w:p w14:paraId="4CEBF13B">
      <w:pPr>
        <w:pStyle w:val="214"/>
        <w:ind w:left="0"/>
      </w:pPr>
      <w:r>
        <w:rPr>
          <w:rFonts w:hint="eastAsia"/>
        </w:rPr>
        <w:t>测定图像质量的像质计分为阶梯孔型像质计和双线型像质计。</w:t>
      </w:r>
    </w:p>
    <w:p w14:paraId="12924E16">
      <w:pPr>
        <w:pStyle w:val="214"/>
        <w:ind w:left="0"/>
      </w:pPr>
      <w:r>
        <w:rPr>
          <w:rFonts w:hint="eastAsia"/>
        </w:rPr>
        <w:t>图像灵敏度采用阶梯孔型像质计进行测定。</w:t>
      </w:r>
    </w:p>
    <w:p w14:paraId="11CA59D1">
      <w:pPr>
        <w:pStyle w:val="214"/>
        <w:ind w:left="0"/>
      </w:pPr>
      <w:r>
        <w:rPr>
          <w:rFonts w:hint="eastAsia"/>
        </w:rPr>
        <w:t>图像分辨率采用双线型像质计进行测定。</w:t>
      </w:r>
    </w:p>
    <w:p w14:paraId="1AE466C4">
      <w:pPr>
        <w:pStyle w:val="214"/>
        <w:ind w:left="0"/>
      </w:pPr>
      <w:r>
        <w:rPr>
          <w:rFonts w:hint="eastAsia"/>
        </w:rPr>
        <w:t>图像质量验证应在每一种储氢气瓶第一次透照时进行或在此之前专门进行工艺验证。验证图像质量的透照布置应摆放阶梯孔型和双线型两种像质计。</w:t>
      </w:r>
    </w:p>
    <w:p w14:paraId="47473DC0">
      <w:pPr>
        <w:pStyle w:val="213"/>
        <w:ind w:left="0"/>
      </w:pPr>
      <w:r>
        <w:rPr>
          <w:rFonts w:hint="eastAsia"/>
        </w:rPr>
        <w:t>阶梯孔型像质计</w:t>
      </w:r>
    </w:p>
    <w:p w14:paraId="1318D2B5">
      <w:pPr>
        <w:pStyle w:val="214"/>
        <w:ind w:left="0"/>
      </w:pPr>
      <w:r>
        <w:rPr>
          <w:rFonts w:hint="eastAsia"/>
        </w:rPr>
        <w:t>阶梯孔型像质计的放置原则</w:t>
      </w:r>
    </w:p>
    <w:p w14:paraId="3A582912">
      <w:pPr>
        <w:pStyle w:val="215"/>
      </w:pPr>
      <w:r>
        <w:rPr>
          <w:rFonts w:hint="eastAsia"/>
        </w:rPr>
        <w:t>双壁透照时，优先放置在X射线机侧、如无法放置，也可放置在探测器侧；</w:t>
      </w:r>
    </w:p>
    <w:p w14:paraId="632C5DAC">
      <w:pPr>
        <w:pStyle w:val="215"/>
      </w:pPr>
      <w:r>
        <w:rPr>
          <w:rFonts w:hint="eastAsia"/>
        </w:rPr>
        <w:t>当阶梯孔型像质计放置在探测器时，应在适当位置放置铅字＂F＂作为标记，“F＂标记的图像应与像质计的标记同时出现在图像上，且应在检报告中注明。</w:t>
      </w:r>
    </w:p>
    <w:p w14:paraId="381269EC">
      <w:pPr>
        <w:pStyle w:val="214"/>
        <w:ind w:left="0"/>
      </w:pPr>
      <w:r>
        <w:rPr>
          <w:rFonts w:hint="eastAsia"/>
        </w:rPr>
        <w:t>阶梯孔型像质计的使用</w:t>
      </w:r>
    </w:p>
    <w:p w14:paraId="357665CA">
      <w:pPr>
        <w:pStyle w:val="215"/>
      </w:pPr>
      <w:r>
        <w:rPr>
          <w:rFonts w:hint="eastAsia"/>
        </w:rPr>
        <w:t>阶梯孔型像质计材料应与被检工件的材料相同或相近。在满足图像灵敏度要求的前提下，低密度阶梯孔型像质计可用于高密度材料的检测。</w:t>
      </w:r>
    </w:p>
    <w:p w14:paraId="1A2BD52B">
      <w:pPr>
        <w:pStyle w:val="215"/>
      </w:pPr>
      <w:r>
        <w:rPr>
          <w:rFonts w:hint="eastAsia"/>
        </w:rPr>
        <w:t>阶梯孔型像质计的材料、材料代码和适用范围应符合表2的规定。</w:t>
      </w:r>
    </w:p>
    <w:p w14:paraId="1E9DA3D9">
      <w:pPr>
        <w:pStyle w:val="77"/>
        <w:spacing w:before="156" w:after="156"/>
      </w:pPr>
      <w:r>
        <w:rPr>
          <w:rFonts w:hint="eastAsia"/>
        </w:rPr>
        <w:t>阶梯孔型像质计适用范围</w:t>
      </w:r>
    </w:p>
    <w:tbl>
      <w:tblPr>
        <w:tblStyle w:val="27"/>
        <w:tblW w:w="384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3"/>
        <w:gridCol w:w="3271"/>
      </w:tblGrid>
      <w:tr w14:paraId="4FF7C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76" w:type="pct"/>
            <w:vAlign w:val="center"/>
          </w:tcPr>
          <w:p w14:paraId="20A36B6A">
            <w:pPr>
              <w:jc w:val="center"/>
            </w:pPr>
            <w:r>
              <w:rPr>
                <w:rFonts w:hint="eastAsia" w:ascii="宋体" w:hAnsi="宋体" w:cs="Arial"/>
                <w:color w:val="333333"/>
                <w:kern w:val="0"/>
              </w:rPr>
              <w:t>阶梯孔型</w:t>
            </w:r>
            <w:r>
              <w:rPr>
                <w:rFonts w:hint="eastAsia"/>
              </w:rPr>
              <w:t>像质计材料代号</w:t>
            </w:r>
          </w:p>
        </w:tc>
        <w:tc>
          <w:tcPr>
            <w:tcW w:w="2224" w:type="pct"/>
            <w:vAlign w:val="center"/>
          </w:tcPr>
          <w:p w14:paraId="385C8219">
            <w:pPr>
              <w:jc w:val="center"/>
            </w:pPr>
            <w:r>
              <w:rPr>
                <w:rFonts w:hint="eastAsia"/>
              </w:rPr>
              <w:t>碳纤维</w:t>
            </w:r>
          </w:p>
        </w:tc>
      </w:tr>
      <w:tr w14:paraId="1C546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76" w:type="pct"/>
            <w:vAlign w:val="center"/>
          </w:tcPr>
          <w:p w14:paraId="6EF0D599">
            <w:pPr>
              <w:jc w:val="center"/>
            </w:pPr>
            <w:r>
              <w:rPr>
                <w:rFonts w:hint="eastAsia" w:ascii="宋体" w:hAnsi="宋体" w:cs="Arial"/>
                <w:color w:val="333333"/>
                <w:kern w:val="0"/>
              </w:rPr>
              <w:t>阶梯孔型</w:t>
            </w:r>
            <w:r>
              <w:rPr>
                <w:rFonts w:hint="eastAsia"/>
              </w:rPr>
              <w:t>像质计材料</w:t>
            </w:r>
          </w:p>
        </w:tc>
        <w:tc>
          <w:tcPr>
            <w:tcW w:w="2224" w:type="pct"/>
            <w:vAlign w:val="center"/>
          </w:tcPr>
          <w:p w14:paraId="283F3802">
            <w:pPr>
              <w:jc w:val="center"/>
            </w:pPr>
            <w:r>
              <w:rPr>
                <w:rFonts w:hint="eastAsia"/>
              </w:rPr>
              <w:t>碳纤维</w:t>
            </w:r>
          </w:p>
        </w:tc>
      </w:tr>
      <w:tr w14:paraId="2EA30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76" w:type="pct"/>
            <w:vAlign w:val="center"/>
          </w:tcPr>
          <w:p w14:paraId="6E0FEECC">
            <w:pPr>
              <w:jc w:val="center"/>
            </w:pPr>
            <w:r>
              <w:rPr>
                <w:rFonts w:hint="eastAsia"/>
              </w:rPr>
              <w:t>适用的材料范围</w:t>
            </w:r>
          </w:p>
        </w:tc>
        <w:tc>
          <w:tcPr>
            <w:tcW w:w="2224" w:type="pct"/>
            <w:vAlign w:val="center"/>
          </w:tcPr>
          <w:p w14:paraId="7448F9C6">
            <w:pPr>
              <w:jc w:val="center"/>
            </w:pPr>
            <w:r>
              <w:rPr>
                <w:rFonts w:hint="eastAsia"/>
              </w:rPr>
              <w:t>碳纤维</w:t>
            </w:r>
          </w:p>
        </w:tc>
      </w:tr>
    </w:tbl>
    <w:p w14:paraId="40A5C4D8">
      <w:pPr>
        <w:widowControl/>
        <w:autoSpaceDE w:val="0"/>
        <w:autoSpaceDN w:val="0"/>
        <w:adjustRightInd/>
        <w:spacing w:line="240" w:lineRule="auto"/>
        <w:ind w:firstLine="420" w:firstLineChars="200"/>
        <w:rPr>
          <w:rFonts w:ascii="宋体" w:hAnsi="Times New Roman"/>
          <w:kern w:val="0"/>
          <w:szCs w:val="20"/>
        </w:rPr>
      </w:pPr>
    </w:p>
    <w:p w14:paraId="327D6797">
      <w:pPr>
        <w:pStyle w:val="215"/>
      </w:pPr>
      <w:r>
        <w:rPr>
          <w:rFonts w:hint="eastAsia"/>
        </w:rPr>
        <w:t>阶梯孔型像质计一般应放置于被检区中心部位以外。</w:t>
      </w:r>
    </w:p>
    <w:p w14:paraId="0FFBCC86">
      <w:pPr>
        <w:pStyle w:val="215"/>
      </w:pPr>
      <w:r>
        <w:rPr>
          <w:rFonts w:hint="eastAsia"/>
        </w:rPr>
        <w:t>原则上每张图像上都应有阶梯孔型像质计的影像。在透照参数和被检工件不变的情况下（如同一气瓶的连续成像），可只在第一幅图像中放置阶梯孔型像质计。</w:t>
      </w:r>
    </w:p>
    <w:p w14:paraId="49E1DACA">
      <w:pPr>
        <w:pStyle w:val="214"/>
        <w:ind w:left="0"/>
      </w:pPr>
      <w:r>
        <w:rPr>
          <w:rFonts w:hint="eastAsia"/>
        </w:rPr>
        <w:t>阶梯孔型像质计的识别</w:t>
      </w:r>
    </w:p>
    <w:p w14:paraId="7893545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图像上能够识别最小孔的编号即为像质计灵敏度值，当同一阶梯上含有两个孔时，则两个孔都应在图像上可识别。</w:t>
      </w:r>
    </w:p>
    <w:p w14:paraId="471883F2">
      <w:pPr>
        <w:pStyle w:val="213"/>
        <w:ind w:left="0"/>
      </w:pPr>
      <w:r>
        <w:rPr>
          <w:rFonts w:hint="eastAsia"/>
        </w:rPr>
        <w:t>双线型像质计</w:t>
      </w:r>
    </w:p>
    <w:p w14:paraId="128AC70A">
      <w:pPr>
        <w:pStyle w:val="214"/>
        <w:ind w:left="0"/>
      </w:pPr>
      <w:r>
        <w:rPr>
          <w:rFonts w:hint="eastAsia"/>
        </w:rPr>
        <w:t>双线型像质计应放置在射线机侧。当采用双壁单影透照方式时，可放在探测器侧。</w:t>
      </w:r>
    </w:p>
    <w:p w14:paraId="7102823A">
      <w:pPr>
        <w:pStyle w:val="214"/>
        <w:ind w:left="0"/>
      </w:pPr>
      <w:r>
        <w:rPr>
          <w:rFonts w:hint="eastAsia"/>
        </w:rPr>
        <w:t>双线型像质计的使用</w:t>
      </w:r>
    </w:p>
    <w:p w14:paraId="084AE2BC">
      <w:pPr>
        <w:pStyle w:val="215"/>
      </w:pPr>
      <w:r>
        <w:rPr>
          <w:rFonts w:hint="eastAsia"/>
        </w:rPr>
        <w:t>双线型像质计应放置在靠近被检部位的母材上，像质计丝与图像（或探测器）的行或列成较小的夹角（如2～5°），且细丝置于外侧。</w:t>
      </w:r>
    </w:p>
    <w:p w14:paraId="3BE8FCEC">
      <w:pPr>
        <w:pStyle w:val="215"/>
      </w:pPr>
      <w:r>
        <w:rPr>
          <w:rFonts w:hint="eastAsia"/>
        </w:rPr>
        <w:t>原则上每张图像上都应有双线型像质计的影像。在透照参数和检测对象不变的情况下（如同一气瓶的连续成像），可只在第一幅图像中放置双线型像质计，且细丝置于外侧。</w:t>
      </w:r>
    </w:p>
    <w:p w14:paraId="743BAD2B">
      <w:pPr>
        <w:pStyle w:val="215"/>
      </w:pPr>
      <w:r>
        <w:rPr>
          <w:rFonts w:hint="eastAsia"/>
        </w:rPr>
        <w:t>若双线型像质计无法放置在规定的位置，应采用表3中的最小厚度的对比试件代替被检工件，但其图像分率不得低于表中的值。</w:t>
      </w:r>
    </w:p>
    <w:p w14:paraId="306F36BE">
      <w:pPr>
        <w:pStyle w:val="77"/>
        <w:spacing w:before="156" w:after="156"/>
      </w:pPr>
      <w:r>
        <w:rPr>
          <w:rFonts w:hint="eastAsia"/>
        </w:rPr>
        <w:t>图像分辨率</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97"/>
        <w:gridCol w:w="2423"/>
        <w:gridCol w:w="1701"/>
        <w:gridCol w:w="1665"/>
      </w:tblGrid>
      <w:tr w14:paraId="1953F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97" w:type="dxa"/>
            <w:vAlign w:val="center"/>
          </w:tcPr>
          <w:p w14:paraId="3593F50F">
            <w:pPr>
              <w:jc w:val="center"/>
            </w:pPr>
            <w:r>
              <w:rPr>
                <w:rFonts w:hint="eastAsia"/>
              </w:rPr>
              <w:t>透照厚度W范围/mm</w:t>
            </w:r>
          </w:p>
        </w:tc>
        <w:tc>
          <w:tcPr>
            <w:tcW w:w="2423" w:type="dxa"/>
            <w:vAlign w:val="center"/>
          </w:tcPr>
          <w:p w14:paraId="082D18B8">
            <w:pPr>
              <w:jc w:val="center"/>
            </w:pPr>
            <w:r>
              <w:rPr>
                <w:rFonts w:hint="eastAsia"/>
              </w:rPr>
              <w:t>图像分辨率/（lp/mm）</w:t>
            </w:r>
          </w:p>
        </w:tc>
        <w:tc>
          <w:tcPr>
            <w:tcW w:w="1701" w:type="dxa"/>
            <w:vAlign w:val="center"/>
          </w:tcPr>
          <w:p w14:paraId="4519FD45">
            <w:pPr>
              <w:jc w:val="center"/>
            </w:pPr>
            <w:r>
              <w:rPr>
                <w:rFonts w:hint="eastAsia"/>
              </w:rPr>
              <w:t>丝号</w:t>
            </w:r>
          </w:p>
        </w:tc>
        <w:tc>
          <w:tcPr>
            <w:tcW w:w="1665" w:type="dxa"/>
            <w:vAlign w:val="center"/>
          </w:tcPr>
          <w:p w14:paraId="11162346">
            <w:pPr>
              <w:jc w:val="center"/>
            </w:pPr>
            <w:r>
              <w:rPr>
                <w:rFonts w:hint="eastAsia"/>
              </w:rPr>
              <w:t>丝径/mm</w:t>
            </w:r>
          </w:p>
        </w:tc>
      </w:tr>
      <w:tr w14:paraId="3AB1E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97" w:type="dxa"/>
            <w:vAlign w:val="center"/>
          </w:tcPr>
          <w:p w14:paraId="45C8E05D">
            <w:pPr>
              <w:jc w:val="center"/>
            </w:pPr>
            <w:r>
              <w:rPr>
                <w:rFonts w:hint="eastAsia"/>
              </w:rPr>
              <w:t>＞10～25</w:t>
            </w:r>
          </w:p>
        </w:tc>
        <w:tc>
          <w:tcPr>
            <w:tcW w:w="2423" w:type="dxa"/>
            <w:vAlign w:val="center"/>
          </w:tcPr>
          <w:p w14:paraId="4654267A">
            <w:pPr>
              <w:jc w:val="center"/>
            </w:pPr>
            <w:r>
              <w:rPr>
                <w:rFonts w:hint="eastAsia"/>
              </w:rPr>
              <w:t>3.125</w:t>
            </w:r>
          </w:p>
        </w:tc>
        <w:tc>
          <w:tcPr>
            <w:tcW w:w="1701" w:type="dxa"/>
            <w:vAlign w:val="center"/>
          </w:tcPr>
          <w:p w14:paraId="2554F63B">
            <w:pPr>
              <w:jc w:val="center"/>
            </w:pPr>
            <w:r>
              <w:rPr>
                <w:rFonts w:hint="eastAsia"/>
              </w:rPr>
              <w:t>D</w:t>
            </w:r>
            <w:r>
              <w:t>8</w:t>
            </w:r>
          </w:p>
        </w:tc>
        <w:tc>
          <w:tcPr>
            <w:tcW w:w="1665" w:type="dxa"/>
            <w:vAlign w:val="center"/>
          </w:tcPr>
          <w:p w14:paraId="4776FC17">
            <w:pPr>
              <w:jc w:val="center"/>
            </w:pPr>
            <w:r>
              <w:rPr>
                <w:rFonts w:hint="eastAsia"/>
              </w:rPr>
              <w:t>0</w:t>
            </w:r>
            <w:r>
              <w:t>.</w:t>
            </w:r>
            <w:r>
              <w:rPr>
                <w:rFonts w:hint="eastAsia"/>
              </w:rPr>
              <w:t>16</w:t>
            </w:r>
          </w:p>
        </w:tc>
      </w:tr>
      <w:tr w14:paraId="057A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97" w:type="dxa"/>
            <w:vAlign w:val="center"/>
          </w:tcPr>
          <w:p w14:paraId="556654D3">
            <w:pPr>
              <w:jc w:val="center"/>
            </w:pPr>
            <w:r>
              <w:rPr>
                <w:rFonts w:hint="eastAsia"/>
              </w:rPr>
              <w:t>＞25～55</w:t>
            </w:r>
          </w:p>
        </w:tc>
        <w:tc>
          <w:tcPr>
            <w:tcW w:w="2423" w:type="dxa"/>
            <w:vAlign w:val="center"/>
          </w:tcPr>
          <w:p w14:paraId="51D1040F">
            <w:pPr>
              <w:jc w:val="center"/>
            </w:pPr>
            <w:r>
              <w:rPr>
                <w:rFonts w:hint="eastAsia"/>
              </w:rPr>
              <w:t>2.50</w:t>
            </w:r>
          </w:p>
        </w:tc>
        <w:tc>
          <w:tcPr>
            <w:tcW w:w="1701" w:type="dxa"/>
            <w:vAlign w:val="center"/>
          </w:tcPr>
          <w:p w14:paraId="5A959262">
            <w:pPr>
              <w:jc w:val="center"/>
            </w:pPr>
            <w:r>
              <w:rPr>
                <w:rFonts w:hint="eastAsia"/>
              </w:rPr>
              <w:t>D</w:t>
            </w:r>
            <w:r>
              <w:t>7</w:t>
            </w:r>
          </w:p>
        </w:tc>
        <w:tc>
          <w:tcPr>
            <w:tcW w:w="1665" w:type="dxa"/>
            <w:vAlign w:val="center"/>
          </w:tcPr>
          <w:p w14:paraId="371D98C3">
            <w:pPr>
              <w:jc w:val="center"/>
            </w:pPr>
            <w:r>
              <w:rPr>
                <w:rFonts w:hint="eastAsia"/>
              </w:rPr>
              <w:t>0</w:t>
            </w:r>
            <w:r>
              <w:t>.2</w:t>
            </w:r>
            <w:r>
              <w:rPr>
                <w:rFonts w:hint="eastAsia"/>
              </w:rPr>
              <w:t>0</w:t>
            </w:r>
          </w:p>
        </w:tc>
      </w:tr>
      <w:tr w14:paraId="5DF88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97" w:type="dxa"/>
            <w:vAlign w:val="center"/>
          </w:tcPr>
          <w:p w14:paraId="3DBE1BD6">
            <w:pPr>
              <w:jc w:val="center"/>
            </w:pPr>
            <w:r>
              <w:rPr>
                <w:rFonts w:hint="eastAsia"/>
              </w:rPr>
              <w:t>＞55～150</w:t>
            </w:r>
          </w:p>
        </w:tc>
        <w:tc>
          <w:tcPr>
            <w:tcW w:w="2423" w:type="dxa"/>
            <w:vAlign w:val="center"/>
          </w:tcPr>
          <w:p w14:paraId="413EA334">
            <w:pPr>
              <w:jc w:val="center"/>
            </w:pPr>
            <w:r>
              <w:rPr>
                <w:rFonts w:hint="eastAsia"/>
              </w:rPr>
              <w:t>2.00</w:t>
            </w:r>
          </w:p>
        </w:tc>
        <w:tc>
          <w:tcPr>
            <w:tcW w:w="1701" w:type="dxa"/>
            <w:vAlign w:val="center"/>
          </w:tcPr>
          <w:p w14:paraId="1B07E027">
            <w:pPr>
              <w:jc w:val="center"/>
            </w:pPr>
            <w:r>
              <w:rPr>
                <w:rFonts w:hint="eastAsia"/>
              </w:rPr>
              <w:t>D6</w:t>
            </w:r>
          </w:p>
        </w:tc>
        <w:tc>
          <w:tcPr>
            <w:tcW w:w="1665" w:type="dxa"/>
            <w:vAlign w:val="center"/>
          </w:tcPr>
          <w:p w14:paraId="182EFEFA">
            <w:pPr>
              <w:jc w:val="center"/>
            </w:pPr>
            <w:r>
              <w:rPr>
                <w:rFonts w:hint="eastAsia"/>
              </w:rPr>
              <w:t>0</w:t>
            </w:r>
            <w:r>
              <w:t>.2</w:t>
            </w:r>
            <w:r>
              <w:rPr>
                <w:rFonts w:hint="eastAsia"/>
              </w:rPr>
              <w:t>5</w:t>
            </w:r>
          </w:p>
        </w:tc>
      </w:tr>
    </w:tbl>
    <w:p w14:paraId="22B61A38">
      <w:pPr>
        <w:widowControl/>
        <w:autoSpaceDE w:val="0"/>
        <w:autoSpaceDN w:val="0"/>
        <w:adjustRightInd/>
        <w:spacing w:line="240" w:lineRule="auto"/>
        <w:ind w:firstLine="420" w:firstLineChars="200"/>
        <w:rPr>
          <w:rFonts w:ascii="宋体" w:hAnsi="Times New Roman"/>
          <w:kern w:val="0"/>
          <w:szCs w:val="20"/>
        </w:rPr>
      </w:pPr>
    </w:p>
    <w:p w14:paraId="3F189223">
      <w:pPr>
        <w:pStyle w:val="214"/>
        <w:ind w:left="0"/>
      </w:pPr>
      <w:r>
        <w:rPr>
          <w:rFonts w:hint="eastAsia"/>
        </w:rPr>
        <w:t>双线型像质计的识别</w:t>
      </w:r>
    </w:p>
    <w:p w14:paraId="2CAB209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双线型像质计的识别方法见附录C。</w:t>
      </w:r>
    </w:p>
    <w:p w14:paraId="3C0EB69F">
      <w:pPr>
        <w:pStyle w:val="213"/>
        <w:ind w:left="0"/>
      </w:pPr>
      <w:r>
        <w:rPr>
          <w:rFonts w:hint="eastAsia"/>
        </w:rPr>
        <w:t>图像质量的要求</w:t>
      </w:r>
    </w:p>
    <w:p w14:paraId="1B80C336">
      <w:pPr>
        <w:pStyle w:val="214"/>
        <w:ind w:left="0"/>
      </w:pPr>
      <w:r>
        <w:rPr>
          <w:rFonts w:hint="eastAsia"/>
        </w:rPr>
        <w:t>图像灵敏度</w:t>
      </w:r>
    </w:p>
    <w:p w14:paraId="35CDB31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按照采用的透照方式，图像灵敏度应符合表4的规定。</w:t>
      </w:r>
    </w:p>
    <w:p w14:paraId="2F5CC709">
      <w:pPr>
        <w:pStyle w:val="214"/>
        <w:ind w:left="0"/>
      </w:pPr>
      <w:r>
        <w:rPr>
          <w:rFonts w:hint="eastAsia"/>
        </w:rPr>
        <w:t>图像分辨率</w:t>
      </w:r>
    </w:p>
    <w:p w14:paraId="154C6EE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图像分辨率应满足表3的规定。</w:t>
      </w:r>
    </w:p>
    <w:p w14:paraId="30474419">
      <w:pPr>
        <w:pStyle w:val="214"/>
        <w:ind w:left="0"/>
      </w:pPr>
      <w:r>
        <w:rPr>
          <w:rFonts w:hint="eastAsia"/>
        </w:rPr>
        <w:t>补偿原则</w:t>
      </w:r>
    </w:p>
    <w:p w14:paraId="390C450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如果图像分辨率达不到表3的规定，可通过提高信噪比来提高图像灵敏度，以补偿由于不清晰度达不到要求而引起的对比度灵敏度降低，信噪比应高于6.2.4的要求。例如：对于某一检测系统，检测厚度为10mm的工件，如果图像质量不能达到W13和D9，则达到W14和D8可提供等效的检测灵敏度。补偿最大不超过1个丝号。</w:t>
      </w:r>
    </w:p>
    <w:p w14:paraId="26C1F8FD">
      <w:pPr>
        <w:pStyle w:val="214"/>
        <w:ind w:left="0"/>
      </w:pPr>
      <w:r>
        <w:rPr>
          <w:rFonts w:hint="eastAsia"/>
        </w:rPr>
        <w:t>对于某一检测系统，若给定几何条件和管电压，可通过增加曝光量提高信噪比。</w:t>
      </w:r>
    </w:p>
    <w:p w14:paraId="7A79BFA6">
      <w:pPr>
        <w:pStyle w:val="77"/>
        <w:spacing w:before="156" w:after="156"/>
      </w:pPr>
      <w:r>
        <w:rPr>
          <w:rFonts w:hint="eastAsia"/>
        </w:rPr>
        <w:t>图像灵敏度值</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3"/>
        <w:gridCol w:w="2946"/>
        <w:gridCol w:w="2736"/>
      </w:tblGrid>
      <w:tr w14:paraId="35E5E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restart"/>
            <w:vAlign w:val="center"/>
          </w:tcPr>
          <w:p w14:paraId="2BBA36EC">
            <w:pPr>
              <w:jc w:val="center"/>
            </w:pPr>
            <w:r>
              <w:rPr>
                <w:rFonts w:hint="eastAsia"/>
              </w:rPr>
              <w:t>应识别孔号（孔径/mm）</w:t>
            </w:r>
          </w:p>
        </w:tc>
        <w:tc>
          <w:tcPr>
            <w:tcW w:w="0" w:type="auto"/>
            <w:vAlign w:val="center"/>
          </w:tcPr>
          <w:p w14:paraId="21D9B9B4">
            <w:pPr>
              <w:jc w:val="center"/>
            </w:pPr>
            <w:r>
              <w:rPr>
                <w:rFonts w:hint="eastAsia" w:ascii="宋体" w:hAnsi="宋体" w:cs="Arial"/>
                <w:color w:val="333333"/>
                <w:kern w:val="0"/>
              </w:rPr>
              <w:t>双壁、像质计置于X射线机侧</w:t>
            </w:r>
          </w:p>
        </w:tc>
        <w:tc>
          <w:tcPr>
            <w:tcW w:w="0" w:type="auto"/>
            <w:vAlign w:val="center"/>
          </w:tcPr>
          <w:p w14:paraId="38B5EA2F">
            <w:pPr>
              <w:jc w:val="center"/>
            </w:pPr>
            <w:r>
              <w:rPr>
                <w:rFonts w:hint="eastAsia" w:ascii="宋体" w:hAnsi="宋体" w:cs="Arial"/>
                <w:color w:val="333333"/>
                <w:kern w:val="0"/>
              </w:rPr>
              <w:t>双壁、像质计置于探测器侧</w:t>
            </w:r>
          </w:p>
        </w:tc>
      </w:tr>
      <w:tr w14:paraId="36D81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continue"/>
            <w:vAlign w:val="center"/>
          </w:tcPr>
          <w:p w14:paraId="4F8DB40B">
            <w:pPr>
              <w:jc w:val="center"/>
            </w:pPr>
          </w:p>
        </w:tc>
        <w:tc>
          <w:tcPr>
            <w:tcW w:w="0" w:type="auto"/>
            <w:vAlign w:val="center"/>
          </w:tcPr>
          <w:p w14:paraId="0A40DB72">
            <w:pPr>
              <w:jc w:val="center"/>
              <w:rPr>
                <w:rFonts w:hint="eastAsia" w:ascii="宋体" w:hAnsi="宋体" w:cs="Arial"/>
                <w:color w:val="333333"/>
                <w:kern w:val="0"/>
              </w:rPr>
            </w:pPr>
            <w:r>
              <w:rPr>
                <w:rFonts w:hint="eastAsia"/>
              </w:rPr>
              <w:t>透照厚度</w:t>
            </w:r>
            <w:r>
              <w:t>W</w:t>
            </w:r>
            <w:r>
              <w:rPr>
                <w:rFonts w:hint="eastAsia"/>
              </w:rPr>
              <w:t xml:space="preserve"> /mm</w:t>
            </w:r>
          </w:p>
        </w:tc>
        <w:tc>
          <w:tcPr>
            <w:tcW w:w="0" w:type="auto"/>
            <w:vAlign w:val="center"/>
          </w:tcPr>
          <w:p w14:paraId="752F68E5">
            <w:pPr>
              <w:jc w:val="center"/>
              <w:rPr>
                <w:rFonts w:hint="eastAsia" w:ascii="宋体" w:hAnsi="宋体" w:cs="Arial"/>
                <w:color w:val="333333"/>
                <w:kern w:val="0"/>
              </w:rPr>
            </w:pPr>
            <w:r>
              <w:rPr>
                <w:rFonts w:hint="eastAsia"/>
              </w:rPr>
              <w:t>透照厚度</w:t>
            </w:r>
            <w:r>
              <w:t>W</w:t>
            </w:r>
            <w:r>
              <w:rPr>
                <w:rFonts w:hint="eastAsia"/>
              </w:rPr>
              <w:t xml:space="preserve"> /mm</w:t>
            </w:r>
          </w:p>
        </w:tc>
      </w:tr>
      <w:tr w14:paraId="75AD6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1B6FC826">
            <w:pPr>
              <w:jc w:val="center"/>
            </w:pPr>
            <w:r>
              <w:t>H7 (0.500)</w:t>
            </w:r>
          </w:p>
        </w:tc>
        <w:tc>
          <w:tcPr>
            <w:tcW w:w="0" w:type="auto"/>
            <w:vAlign w:val="center"/>
          </w:tcPr>
          <w:p w14:paraId="2A5E10F4">
            <w:pPr>
              <w:jc w:val="center"/>
            </w:pPr>
            <w:r>
              <w:rPr>
                <w:rFonts w:hint="eastAsia" w:ascii="宋体" w:hAnsi="宋体" w:cs="Arial"/>
                <w:color w:val="333333"/>
                <w:kern w:val="0"/>
              </w:rPr>
              <w:t>—</w:t>
            </w:r>
          </w:p>
        </w:tc>
        <w:tc>
          <w:tcPr>
            <w:tcW w:w="0" w:type="auto"/>
            <w:vAlign w:val="center"/>
          </w:tcPr>
          <w:p w14:paraId="75BD2E7D">
            <w:pPr>
              <w:jc w:val="center"/>
            </w:pPr>
            <w:r>
              <w:rPr>
                <w:rFonts w:hint="eastAsia"/>
              </w:rPr>
              <w:t>＞</w:t>
            </w:r>
            <w:r>
              <w:t>14</w:t>
            </w:r>
            <w:r>
              <w:rPr>
                <w:rFonts w:hint="eastAsia"/>
              </w:rPr>
              <w:t>～</w:t>
            </w:r>
            <w:r>
              <w:t>22</w:t>
            </w:r>
          </w:p>
        </w:tc>
      </w:tr>
      <w:tr w14:paraId="040CA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18571818">
            <w:pPr>
              <w:jc w:val="center"/>
            </w:pPr>
            <w:r>
              <w:t>H8 (0.630)</w:t>
            </w:r>
          </w:p>
        </w:tc>
        <w:tc>
          <w:tcPr>
            <w:tcW w:w="0" w:type="auto"/>
            <w:vAlign w:val="center"/>
          </w:tcPr>
          <w:p w14:paraId="60441760">
            <w:pPr>
              <w:jc w:val="center"/>
            </w:pPr>
            <w:r>
              <w:rPr>
                <w:rFonts w:hint="eastAsia"/>
              </w:rPr>
              <w:t>＞10～19</w:t>
            </w:r>
          </w:p>
        </w:tc>
        <w:tc>
          <w:tcPr>
            <w:tcW w:w="0" w:type="auto"/>
            <w:vAlign w:val="center"/>
          </w:tcPr>
          <w:p w14:paraId="2F41A2BB">
            <w:pPr>
              <w:jc w:val="center"/>
            </w:pPr>
            <w:r>
              <w:rPr>
                <w:rFonts w:hint="eastAsia"/>
              </w:rPr>
              <w:t>＞</w:t>
            </w:r>
            <w:r>
              <w:t>22</w:t>
            </w:r>
            <w:r>
              <w:rPr>
                <w:rFonts w:hint="eastAsia"/>
              </w:rPr>
              <w:t>～</w:t>
            </w:r>
            <w:r>
              <w:t>36</w:t>
            </w:r>
          </w:p>
        </w:tc>
      </w:tr>
      <w:tr w14:paraId="709D1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744E947B">
            <w:pPr>
              <w:jc w:val="center"/>
            </w:pPr>
            <w:r>
              <w:t>H9 (0.800)</w:t>
            </w:r>
          </w:p>
        </w:tc>
        <w:tc>
          <w:tcPr>
            <w:tcW w:w="0" w:type="auto"/>
            <w:vAlign w:val="center"/>
          </w:tcPr>
          <w:p w14:paraId="05A337FC">
            <w:pPr>
              <w:jc w:val="center"/>
            </w:pPr>
            <w:r>
              <w:rPr>
                <w:rFonts w:hint="eastAsia"/>
              </w:rPr>
              <w:t>＞19～35</w:t>
            </w:r>
          </w:p>
        </w:tc>
        <w:tc>
          <w:tcPr>
            <w:tcW w:w="0" w:type="auto"/>
            <w:vAlign w:val="center"/>
          </w:tcPr>
          <w:p w14:paraId="61A7776A">
            <w:pPr>
              <w:jc w:val="center"/>
            </w:pPr>
            <w:r>
              <w:rPr>
                <w:rFonts w:hint="eastAsia"/>
              </w:rPr>
              <w:t>＞</w:t>
            </w:r>
            <w:r>
              <w:t>36</w:t>
            </w:r>
            <w:r>
              <w:rPr>
                <w:rFonts w:hint="eastAsia"/>
              </w:rPr>
              <w:t>～</w:t>
            </w:r>
            <w:r>
              <w:t>50</w:t>
            </w:r>
          </w:p>
        </w:tc>
      </w:tr>
      <w:tr w14:paraId="0E3A2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55C349B6">
            <w:pPr>
              <w:jc w:val="center"/>
            </w:pPr>
            <w:r>
              <w:t>H10 (1.000)</w:t>
            </w:r>
          </w:p>
        </w:tc>
        <w:tc>
          <w:tcPr>
            <w:tcW w:w="0" w:type="auto"/>
            <w:vAlign w:val="center"/>
          </w:tcPr>
          <w:p w14:paraId="3FEFB464">
            <w:pPr>
              <w:jc w:val="center"/>
            </w:pPr>
            <w:r>
              <w:rPr>
                <w:rFonts w:hint="eastAsia" w:ascii="宋体" w:hAnsi="宋体" w:cs="Arial"/>
                <w:color w:val="333333"/>
                <w:kern w:val="0"/>
              </w:rPr>
              <w:t>—</w:t>
            </w:r>
          </w:p>
        </w:tc>
        <w:tc>
          <w:tcPr>
            <w:tcW w:w="0" w:type="auto"/>
            <w:vAlign w:val="center"/>
          </w:tcPr>
          <w:p w14:paraId="69E84208">
            <w:pPr>
              <w:jc w:val="center"/>
            </w:pPr>
            <w:r>
              <w:rPr>
                <w:rFonts w:hint="eastAsia"/>
              </w:rPr>
              <w:t>＞</w:t>
            </w:r>
            <w:r>
              <w:t>50</w:t>
            </w:r>
            <w:r>
              <w:rPr>
                <w:rFonts w:hint="eastAsia"/>
              </w:rPr>
              <w:t>～</w:t>
            </w:r>
            <w:r>
              <w:t>80</w:t>
            </w:r>
          </w:p>
        </w:tc>
      </w:tr>
    </w:tbl>
    <w:p w14:paraId="68126627">
      <w:pPr>
        <w:widowControl/>
        <w:autoSpaceDE w:val="0"/>
        <w:autoSpaceDN w:val="0"/>
        <w:adjustRightInd/>
        <w:spacing w:line="240" w:lineRule="auto"/>
        <w:ind w:firstLine="420" w:firstLineChars="200"/>
        <w:rPr>
          <w:rFonts w:ascii="宋体" w:hAnsi="Times New Roman"/>
          <w:kern w:val="0"/>
          <w:szCs w:val="20"/>
        </w:rPr>
      </w:pPr>
    </w:p>
    <w:p w14:paraId="24E5DBBC">
      <w:pPr>
        <w:pStyle w:val="79"/>
        <w:spacing w:before="156" w:after="156"/>
        <w:ind w:left="0"/>
      </w:pPr>
      <w:r>
        <w:rPr>
          <w:rFonts w:hint="eastAsia"/>
        </w:rPr>
        <w:t>图像评定</w:t>
      </w:r>
    </w:p>
    <w:p w14:paraId="212B6E8D">
      <w:pPr>
        <w:pStyle w:val="213"/>
        <w:ind w:left="0"/>
      </w:pPr>
      <w:r>
        <w:rPr>
          <w:rFonts w:hint="eastAsia"/>
        </w:rPr>
        <w:t>一般要求</w:t>
      </w:r>
    </w:p>
    <w:p w14:paraId="1A3CD3FE">
      <w:pPr>
        <w:pStyle w:val="214"/>
        <w:ind w:left="0"/>
      </w:pPr>
      <w:r>
        <w:rPr>
          <w:rFonts w:hint="eastAsia"/>
        </w:rPr>
        <w:t>图像质量满足规定的要求后，方可进行被检储氢气瓶质量的等级评定。</w:t>
      </w:r>
    </w:p>
    <w:p w14:paraId="2A9D76AA">
      <w:pPr>
        <w:pStyle w:val="214"/>
        <w:ind w:left="0"/>
      </w:pPr>
      <w:r>
        <w:rPr>
          <w:rFonts w:hint="eastAsia"/>
        </w:rPr>
        <w:t>可通过正像或负像的方式显示。</w:t>
      </w:r>
    </w:p>
    <w:p w14:paraId="75DE24DB">
      <w:pPr>
        <w:pStyle w:val="214"/>
        <w:ind w:left="0"/>
      </w:pPr>
      <w:r>
        <w:rPr>
          <w:rFonts w:hint="eastAsia"/>
        </w:rPr>
        <w:t>应在光线柔和的环境下观察图像，显示器屏幕应清洁、无明显的光线反射。</w:t>
      </w:r>
    </w:p>
    <w:p w14:paraId="6638E23D">
      <w:pPr>
        <w:pStyle w:val="214"/>
        <w:ind w:left="0"/>
      </w:pPr>
      <w:r>
        <w:rPr>
          <w:rFonts w:hint="eastAsia"/>
        </w:rPr>
        <w:t>图像有效评定区城内不应存在干扰缺陷图像识别的伪像。</w:t>
      </w:r>
    </w:p>
    <w:p w14:paraId="2F4C2197">
      <w:pPr>
        <w:pStyle w:val="213"/>
        <w:ind w:left="0"/>
      </w:pPr>
      <w:r>
        <w:rPr>
          <w:rFonts w:hint="eastAsia"/>
        </w:rPr>
        <w:t>系统软件要求</w:t>
      </w:r>
    </w:p>
    <w:p w14:paraId="16B1791F">
      <w:pPr>
        <w:pStyle w:val="214"/>
        <w:ind w:left="0"/>
      </w:pPr>
      <w:r>
        <w:rPr>
          <w:rFonts w:hint="eastAsia"/>
        </w:rPr>
        <w:t>系统软件应满足4.2.4的要求。</w:t>
      </w:r>
    </w:p>
    <w:p w14:paraId="318056E1">
      <w:pPr>
        <w:pStyle w:val="213"/>
        <w:ind w:left="0"/>
      </w:pPr>
      <w:r>
        <w:rPr>
          <w:rFonts w:hint="eastAsia"/>
        </w:rPr>
        <w:t>图像灰度范围要求</w:t>
      </w:r>
    </w:p>
    <w:p w14:paraId="2391CD8E">
      <w:pPr>
        <w:pStyle w:val="214"/>
        <w:ind w:left="0"/>
      </w:pPr>
      <w:r>
        <w:rPr>
          <w:rFonts w:hint="eastAsia"/>
        </w:rPr>
        <w:t>图像有效评定区内的灰度值应控制在满量程的20％～80％；</w:t>
      </w:r>
    </w:p>
    <w:p w14:paraId="2B8795EE">
      <w:pPr>
        <w:pStyle w:val="214"/>
        <w:ind w:left="0"/>
      </w:pPr>
      <w:r>
        <w:rPr>
          <w:rFonts w:hint="eastAsia"/>
        </w:rPr>
        <w:t>可通过测量图像灰度直方图等方法确定图像灰度分布范围。</w:t>
      </w:r>
    </w:p>
    <w:p w14:paraId="0B8FA108">
      <w:pPr>
        <w:pStyle w:val="213"/>
        <w:ind w:left="0"/>
      </w:pPr>
      <w:r>
        <w:rPr>
          <w:rFonts w:hint="eastAsia"/>
        </w:rPr>
        <w:t>信噪比要求</w:t>
      </w:r>
    </w:p>
    <w:p w14:paraId="20217405">
      <w:pPr>
        <w:pStyle w:val="214"/>
        <w:ind w:left="0"/>
      </w:pPr>
      <w:r>
        <w:rPr>
          <w:rFonts w:hint="eastAsia"/>
        </w:rPr>
        <w:t>应满足表5对归一化信噪比的最低要求。</w:t>
      </w:r>
    </w:p>
    <w:p w14:paraId="3E6C9B90">
      <w:pPr>
        <w:pStyle w:val="214"/>
        <w:ind w:left="0"/>
      </w:pPr>
      <w:r>
        <w:rPr>
          <w:rFonts w:hint="eastAsia"/>
        </w:rPr>
        <w:t>归一化信噪比测试方法见附录D。</w:t>
      </w:r>
    </w:p>
    <w:p w14:paraId="6798C28B">
      <w:pPr>
        <w:pStyle w:val="77"/>
        <w:spacing w:before="156" w:after="156"/>
      </w:pPr>
      <w:r>
        <w:rPr>
          <w:rFonts w:hint="eastAsia"/>
        </w:rPr>
        <w:t>归一化信噪比最低要求</w:t>
      </w:r>
    </w:p>
    <w:tbl>
      <w:tblPr>
        <w:tblStyle w:val="27"/>
        <w:tblW w:w="418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7"/>
        <w:gridCol w:w="4637"/>
      </w:tblGrid>
      <w:tr w14:paraId="588AF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07" w:type="pct"/>
            <w:vAlign w:val="center"/>
          </w:tcPr>
          <w:p w14:paraId="6A6C4987">
            <w:pPr>
              <w:jc w:val="center"/>
            </w:pPr>
            <w:r>
              <w:rPr>
                <w:rFonts w:hint="eastAsia"/>
              </w:rPr>
              <w:t>管电压范围/k</w:t>
            </w:r>
            <w:r>
              <w:t>V</w:t>
            </w:r>
          </w:p>
        </w:tc>
        <w:tc>
          <w:tcPr>
            <w:tcW w:w="2893" w:type="pct"/>
            <w:vAlign w:val="center"/>
          </w:tcPr>
          <w:p w14:paraId="574DA39F">
            <w:pPr>
              <w:jc w:val="center"/>
            </w:pPr>
            <w:r>
              <w:rPr>
                <w:rFonts w:hint="eastAsia"/>
              </w:rPr>
              <w:t>归一化信噪比</w:t>
            </w:r>
          </w:p>
        </w:tc>
      </w:tr>
      <w:tr w14:paraId="5A86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07" w:type="pct"/>
            <w:vAlign w:val="center"/>
          </w:tcPr>
          <w:p w14:paraId="65BDFF1A">
            <w:pPr>
              <w:jc w:val="center"/>
            </w:pPr>
            <w:r>
              <w:rPr>
                <w:rFonts w:hint="eastAsia"/>
              </w:rPr>
              <w:t>&lt;150</w:t>
            </w:r>
          </w:p>
        </w:tc>
        <w:tc>
          <w:tcPr>
            <w:tcW w:w="2893" w:type="pct"/>
            <w:vAlign w:val="center"/>
          </w:tcPr>
          <w:p w14:paraId="44F08760">
            <w:pPr>
              <w:jc w:val="center"/>
            </w:pPr>
            <w:r>
              <w:rPr>
                <w:rFonts w:hint="eastAsia"/>
              </w:rPr>
              <w:t>170</w:t>
            </w:r>
          </w:p>
        </w:tc>
      </w:tr>
      <w:tr w14:paraId="36C05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07" w:type="pct"/>
            <w:vAlign w:val="center"/>
          </w:tcPr>
          <w:p w14:paraId="6ABF5D11">
            <w:pPr>
              <w:jc w:val="center"/>
            </w:pPr>
            <w:r>
              <w:rPr>
                <w:rFonts w:ascii="Arial" w:hAnsi="Arial" w:cs="Arial"/>
              </w:rPr>
              <w:t>≥</w:t>
            </w:r>
            <w:r>
              <w:rPr>
                <w:rFonts w:hint="eastAsia"/>
              </w:rPr>
              <w:t>150~250</w:t>
            </w:r>
          </w:p>
        </w:tc>
        <w:tc>
          <w:tcPr>
            <w:tcW w:w="2893" w:type="pct"/>
            <w:vAlign w:val="center"/>
          </w:tcPr>
          <w:p w14:paraId="4A624365">
            <w:pPr>
              <w:jc w:val="center"/>
            </w:pPr>
            <w:r>
              <w:rPr>
                <w:rFonts w:hint="eastAsia"/>
              </w:rPr>
              <w:t>140</w:t>
            </w:r>
          </w:p>
        </w:tc>
      </w:tr>
    </w:tbl>
    <w:p w14:paraId="0C6DED47">
      <w:pPr>
        <w:widowControl/>
        <w:autoSpaceDE w:val="0"/>
        <w:autoSpaceDN w:val="0"/>
        <w:adjustRightInd/>
        <w:spacing w:line="240" w:lineRule="auto"/>
        <w:ind w:firstLine="420" w:firstLineChars="200"/>
        <w:rPr>
          <w:rFonts w:ascii="宋体" w:hAnsi="Times New Roman"/>
          <w:kern w:val="0"/>
          <w:szCs w:val="20"/>
        </w:rPr>
      </w:pPr>
    </w:p>
    <w:p w14:paraId="70347DD4">
      <w:pPr>
        <w:pStyle w:val="213"/>
        <w:ind w:left="0"/>
      </w:pPr>
      <w:r>
        <w:rPr>
          <w:rFonts w:hint="eastAsia"/>
        </w:rPr>
        <w:t>图像存储</w:t>
      </w:r>
    </w:p>
    <w:p w14:paraId="28CC2155">
      <w:pPr>
        <w:pStyle w:val="214"/>
        <w:ind w:left="0"/>
      </w:pPr>
      <w:r>
        <w:rPr>
          <w:rFonts w:hint="eastAsia"/>
        </w:rPr>
        <w:t>存储格式宜按照DICONDE格式执行。</w:t>
      </w:r>
    </w:p>
    <w:p w14:paraId="3A278256">
      <w:pPr>
        <w:pStyle w:val="214"/>
        <w:ind w:left="0"/>
      </w:pPr>
      <w:r>
        <w:rPr>
          <w:rFonts w:hint="eastAsia"/>
        </w:rPr>
        <w:t>单位代码、工件编号、部位編号、透照参数、检测人员代码、识别标记等信息应写入图像文件的描述字段中，这些信息应具备不可更改性。</w:t>
      </w:r>
    </w:p>
    <w:p w14:paraId="18BFE986">
      <w:pPr>
        <w:pStyle w:val="214"/>
        <w:ind w:left="0"/>
      </w:pPr>
      <w:r>
        <w:rPr>
          <w:rFonts w:hint="eastAsia"/>
        </w:rPr>
        <w:t>部位编号应与图像编号相对应。</w:t>
      </w:r>
    </w:p>
    <w:p w14:paraId="156E69B6">
      <w:pPr>
        <w:pStyle w:val="213"/>
        <w:ind w:left="0"/>
      </w:pPr>
      <w:r>
        <w:rPr>
          <w:rFonts w:hint="eastAsia"/>
        </w:rPr>
        <w:t>缺陷的识别与评定</w:t>
      </w:r>
    </w:p>
    <w:p w14:paraId="47DA2F27">
      <w:pPr>
        <w:pStyle w:val="214"/>
        <w:ind w:left="0"/>
      </w:pPr>
      <w:r>
        <w:rPr>
          <w:rFonts w:hint="eastAsia"/>
        </w:rPr>
        <w:t>缺陷的识别可采用人工识别或计算机辅助识別方法。</w:t>
      </w:r>
    </w:p>
    <w:p w14:paraId="184FC250">
      <w:pPr>
        <w:pStyle w:val="214"/>
        <w:ind w:left="0"/>
      </w:pPr>
      <w:r>
        <w:rPr>
          <w:rFonts w:hint="eastAsia"/>
        </w:rPr>
        <w:t>缺陷的评定可采用人工评定或计算机辅助评定方法。</w:t>
      </w:r>
    </w:p>
    <w:p w14:paraId="46DE340E">
      <w:pPr>
        <w:pStyle w:val="214"/>
        <w:ind w:left="0"/>
      </w:pPr>
      <w:r>
        <w:rPr>
          <w:rFonts w:hint="eastAsia"/>
        </w:rPr>
        <w:t>人工识别可通过系统软件工具对图像进行线性拉伸来改变图像显示的灰度范围，达到人眼识别的最佳效果。</w:t>
      </w:r>
    </w:p>
    <w:p w14:paraId="557FD161">
      <w:pPr>
        <w:widowControl/>
        <w:autoSpaceDE w:val="0"/>
        <w:autoSpaceDN w:val="0"/>
        <w:adjustRightInd/>
        <w:spacing w:line="240" w:lineRule="auto"/>
        <w:ind w:firstLine="420" w:firstLineChars="200"/>
        <w:rPr>
          <w:rFonts w:ascii="宋体" w:hAnsi="Times New Roman"/>
          <w:kern w:val="0"/>
          <w:szCs w:val="20"/>
        </w:rPr>
      </w:pPr>
    </w:p>
    <w:p w14:paraId="23905D57">
      <w:pPr>
        <w:pStyle w:val="78"/>
        <w:spacing w:before="156" w:after="156"/>
      </w:pPr>
      <w:bookmarkStart w:id="195" w:name="_Toc127956159"/>
      <w:r>
        <w:rPr>
          <w:rFonts w:hint="eastAsia"/>
        </w:rPr>
        <w:t>检测结果评定和质量分级</w:t>
      </w:r>
      <w:bookmarkEnd w:id="195"/>
    </w:p>
    <w:p w14:paraId="7459AA0B">
      <w:pPr>
        <w:pStyle w:val="212"/>
        <w:ind w:left="0"/>
      </w:pPr>
      <w:r>
        <w:rPr>
          <w:rFonts w:hint="eastAsia"/>
        </w:rPr>
        <w:t>缺陷按性质和形状可分为裂纹、条形缺陷、圆形缺陷、分层等。</w:t>
      </w:r>
    </w:p>
    <w:p w14:paraId="2EDD673A">
      <w:pPr>
        <w:pStyle w:val="212"/>
        <w:ind w:left="0"/>
      </w:pPr>
      <w:r>
        <w:rPr>
          <w:rFonts w:hint="eastAsia"/>
        </w:rPr>
        <w:t>根据存在的缺陷性质、数量和密集程度，其质量等级可划分为Ⅰ、Ⅱ、Ⅲ、Ⅳ级。</w:t>
      </w:r>
    </w:p>
    <w:p w14:paraId="7ECDE007">
      <w:pPr>
        <w:pStyle w:val="212"/>
        <w:ind w:left="0"/>
      </w:pPr>
      <w:r>
        <w:rPr>
          <w:rFonts w:hint="eastAsia"/>
        </w:rPr>
        <w:t>Ⅰ级内不允许存在裂纹、条形缺陷。</w:t>
      </w:r>
    </w:p>
    <w:p w14:paraId="3B186315">
      <w:pPr>
        <w:pStyle w:val="212"/>
        <w:ind w:left="0"/>
      </w:pPr>
      <w:r>
        <w:rPr>
          <w:rFonts w:hint="eastAsia"/>
        </w:rPr>
        <w:t>Ⅱ级和Ⅲ级评定区域内不允许存在裂纹。</w:t>
      </w:r>
    </w:p>
    <w:p w14:paraId="319DDDE5">
      <w:pPr>
        <w:pStyle w:val="212"/>
        <w:ind w:left="0"/>
      </w:pPr>
      <w:r>
        <w:rPr>
          <w:rFonts w:hint="eastAsia"/>
        </w:rPr>
        <w:t>条形缺陷评定区内同时存在多种缺陷时，应进行综合评级，即分别评定条形评定区内各类缺陷的质量级别，取质量级别最低的级别作为综合评级的级别；当各类缺陷的级别相同时，则降低一级作为综合评级的级别。</w:t>
      </w:r>
    </w:p>
    <w:p w14:paraId="105655B0">
      <w:pPr>
        <w:pStyle w:val="212"/>
        <w:ind w:left="0"/>
      </w:pPr>
      <w:r>
        <w:rPr>
          <w:rFonts w:hint="eastAsia"/>
        </w:rPr>
        <w:t>除综合评级外，当各类缺陷评定的质量级别不同时，应以最低的质量级别作为质量级别。</w:t>
      </w:r>
    </w:p>
    <w:p w14:paraId="5B21FCF4">
      <w:pPr>
        <w:pStyle w:val="212"/>
        <w:ind w:left="0"/>
      </w:pPr>
      <w:r>
        <w:rPr>
          <w:rFonts w:hint="eastAsia"/>
        </w:rPr>
        <w:t>缺陷评定的质量级别超过Ⅲ级时一律定位Ⅳ级。</w:t>
      </w:r>
    </w:p>
    <w:p w14:paraId="41F20970">
      <w:pPr>
        <w:pStyle w:val="212"/>
        <w:ind w:left="0"/>
      </w:pPr>
      <w:r>
        <w:rPr>
          <w:rFonts w:hint="eastAsia"/>
        </w:rPr>
        <w:t>圆形缺陷用圆形缺陷评定区进行质量分级评定，圆形缺陷评定区为一个与有效区域相似的矩形，其尺寸见表7-1。</w:t>
      </w:r>
    </w:p>
    <w:p w14:paraId="7D60DDA2">
      <w:pPr>
        <w:pStyle w:val="212"/>
        <w:ind w:left="0"/>
      </w:pPr>
      <w:r>
        <w:rPr>
          <w:rFonts w:hint="eastAsia"/>
        </w:rPr>
        <w:t>在圆形缺陷评定区内或与圆形缺陷评定区边界相割的缺陷均应划入评定区内。将评定区内的缺陷按表7-2的规定换算为点数，按表7-3的规定评定质量级别。</w:t>
      </w:r>
    </w:p>
    <w:p w14:paraId="082388CA">
      <w:pPr>
        <w:pStyle w:val="77"/>
        <w:spacing w:before="156" w:after="156"/>
      </w:pPr>
      <w:r>
        <w:rPr>
          <w:rFonts w:hint="eastAsia"/>
        </w:rPr>
        <w:t>缺陷评定区</w:t>
      </w:r>
    </w:p>
    <w:tbl>
      <w:tblPr>
        <w:tblStyle w:val="27"/>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12"/>
        <w:gridCol w:w="3212"/>
        <w:gridCol w:w="3214"/>
      </w:tblGrid>
      <w:tr w14:paraId="72E49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38" w:type="dxa"/>
            <w:gridSpan w:val="3"/>
            <w:tcBorders>
              <w:top w:val="nil"/>
              <w:left w:val="nil"/>
              <w:right w:val="nil"/>
            </w:tcBorders>
            <w:vAlign w:val="center"/>
          </w:tcPr>
          <w:p w14:paraId="56436774">
            <w:pPr>
              <w:spacing w:after="156" w:afterLines="50"/>
              <w:ind w:firstLine="420"/>
              <w:jc w:val="right"/>
              <w:rPr>
                <w:rFonts w:hint="eastAsia" w:ascii="宋体" w:hAnsi="宋体" w:cs="Arial"/>
                <w:color w:val="333333"/>
                <w:kern w:val="0"/>
              </w:rPr>
            </w:pPr>
            <w:r>
              <w:rPr>
                <w:rFonts w:hint="eastAsia" w:ascii="宋体" w:hAnsi="宋体" w:cs="Arial"/>
                <w:color w:val="333333"/>
                <w:kern w:val="0"/>
              </w:rPr>
              <w:t>单位：mm</w:t>
            </w:r>
          </w:p>
        </w:tc>
      </w:tr>
      <w:tr w14:paraId="37D39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12" w:type="dxa"/>
            <w:vAlign w:val="center"/>
          </w:tcPr>
          <w:p w14:paraId="47966BFD">
            <w:pPr>
              <w:jc w:val="center"/>
              <w:rPr>
                <w:rFonts w:hint="eastAsia" w:ascii="宋体" w:hAnsi="宋体" w:cs="Arial"/>
                <w:color w:val="333333"/>
                <w:kern w:val="0"/>
              </w:rPr>
            </w:pPr>
            <w:r>
              <w:rPr>
                <w:rFonts w:hint="eastAsia" w:ascii="宋体" w:hAnsi="宋体" w:cs="Arial"/>
                <w:color w:val="333333"/>
                <w:kern w:val="0"/>
              </w:rPr>
              <w:t>母材公称厚度T</w:t>
            </w:r>
          </w:p>
        </w:tc>
        <w:tc>
          <w:tcPr>
            <w:tcW w:w="3212" w:type="dxa"/>
            <w:vAlign w:val="center"/>
          </w:tcPr>
          <w:p w14:paraId="70B991D0">
            <w:pPr>
              <w:jc w:val="center"/>
              <w:rPr>
                <w:rFonts w:hint="eastAsia" w:ascii="宋体" w:hAnsi="宋体" w:cs="Arial"/>
                <w:color w:val="333333"/>
                <w:kern w:val="0"/>
              </w:rPr>
            </w:pPr>
            <w:r>
              <w:rPr>
                <w:rFonts w:ascii="宋体" w:hAnsi="宋体" w:cs="Arial"/>
                <w:color w:val="333333"/>
                <w:kern w:val="0"/>
              </w:rPr>
              <w:t>≤</w:t>
            </w:r>
            <w:r>
              <w:rPr>
                <w:rFonts w:hint="eastAsia" w:ascii="宋体" w:hAnsi="宋体" w:cs="Arial"/>
                <w:color w:val="333333"/>
                <w:kern w:val="0"/>
              </w:rPr>
              <w:t>25</w:t>
            </w:r>
          </w:p>
        </w:tc>
        <w:tc>
          <w:tcPr>
            <w:tcW w:w="3214" w:type="dxa"/>
            <w:vAlign w:val="center"/>
          </w:tcPr>
          <w:p w14:paraId="1A1BCEA7">
            <w:pPr>
              <w:jc w:val="center"/>
              <w:rPr>
                <w:rFonts w:hint="eastAsia" w:ascii="宋体" w:hAnsi="宋体" w:cs="Arial"/>
                <w:color w:val="333333"/>
                <w:kern w:val="0"/>
              </w:rPr>
            </w:pPr>
            <w:r>
              <w:rPr>
                <w:rFonts w:hint="eastAsia" w:ascii="宋体" w:hAnsi="宋体" w:cs="Arial"/>
                <w:color w:val="333333"/>
                <w:kern w:val="0"/>
              </w:rPr>
              <w:t>＞25～60</w:t>
            </w:r>
          </w:p>
        </w:tc>
      </w:tr>
      <w:tr w14:paraId="679E4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12" w:type="dxa"/>
            <w:vAlign w:val="center"/>
          </w:tcPr>
          <w:p w14:paraId="4BD49B86">
            <w:pPr>
              <w:jc w:val="center"/>
              <w:rPr>
                <w:rFonts w:hint="eastAsia" w:ascii="宋体" w:hAnsi="宋体" w:cs="Arial"/>
                <w:color w:val="333333"/>
                <w:kern w:val="0"/>
              </w:rPr>
            </w:pPr>
            <w:r>
              <w:rPr>
                <w:rFonts w:hint="eastAsia" w:ascii="宋体" w:hAnsi="宋体" w:cs="Arial"/>
                <w:color w:val="333333"/>
                <w:kern w:val="0"/>
              </w:rPr>
              <w:t>评定区尺寸</w:t>
            </w:r>
          </w:p>
        </w:tc>
        <w:tc>
          <w:tcPr>
            <w:tcW w:w="3212" w:type="dxa"/>
            <w:vAlign w:val="center"/>
          </w:tcPr>
          <w:p w14:paraId="365F4C0E">
            <w:pPr>
              <w:jc w:val="center"/>
              <w:rPr>
                <w:rFonts w:hint="eastAsia" w:ascii="宋体" w:hAnsi="宋体" w:cs="Arial"/>
                <w:color w:val="333333"/>
                <w:kern w:val="0"/>
              </w:rPr>
            </w:pPr>
            <w:r>
              <w:rPr>
                <w:rFonts w:hint="eastAsia" w:ascii="宋体" w:hAnsi="宋体" w:cs="Arial"/>
                <w:color w:val="333333"/>
                <w:kern w:val="0"/>
              </w:rPr>
              <w:t>10×10</w:t>
            </w:r>
          </w:p>
        </w:tc>
        <w:tc>
          <w:tcPr>
            <w:tcW w:w="3214" w:type="dxa"/>
            <w:vAlign w:val="center"/>
          </w:tcPr>
          <w:p w14:paraId="00F58FE7">
            <w:pPr>
              <w:jc w:val="center"/>
              <w:rPr>
                <w:rFonts w:hint="eastAsia" w:ascii="宋体" w:hAnsi="宋体" w:cs="Arial"/>
                <w:color w:val="333333"/>
                <w:kern w:val="0"/>
              </w:rPr>
            </w:pPr>
            <w:r>
              <w:rPr>
                <w:rFonts w:hint="eastAsia" w:ascii="宋体" w:hAnsi="宋体" w:cs="Arial"/>
                <w:color w:val="333333"/>
                <w:kern w:val="0"/>
              </w:rPr>
              <w:t>10×20</w:t>
            </w:r>
          </w:p>
        </w:tc>
      </w:tr>
    </w:tbl>
    <w:p w14:paraId="3E8D1E89">
      <w:pPr>
        <w:pStyle w:val="77"/>
        <w:spacing w:before="156" w:after="156"/>
      </w:pPr>
      <w:r>
        <w:rPr>
          <w:rFonts w:hint="eastAsia"/>
        </w:rPr>
        <w:t>缺陷点数换算表</w:t>
      </w:r>
    </w:p>
    <w:tbl>
      <w:tblPr>
        <w:tblStyle w:val="27"/>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1204"/>
        <w:gridCol w:w="1204"/>
        <w:gridCol w:w="1204"/>
        <w:gridCol w:w="1204"/>
        <w:gridCol w:w="1204"/>
        <w:gridCol w:w="1204"/>
        <w:gridCol w:w="1210"/>
      </w:tblGrid>
      <w:tr w14:paraId="1FD5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04" w:type="dxa"/>
            <w:vAlign w:val="center"/>
          </w:tcPr>
          <w:p w14:paraId="46D94C54">
            <w:pPr>
              <w:jc w:val="center"/>
              <w:rPr>
                <w:rFonts w:hint="eastAsia" w:ascii="宋体" w:hAnsi="宋体" w:cs="Arial"/>
                <w:color w:val="333333"/>
                <w:kern w:val="0"/>
              </w:rPr>
            </w:pPr>
            <w:r>
              <w:rPr>
                <w:rFonts w:hint="eastAsia" w:ascii="宋体" w:hAnsi="宋体" w:cs="Arial"/>
                <w:color w:val="333333"/>
                <w:kern w:val="0"/>
              </w:rPr>
              <w:t>缺陷长径/mm</w:t>
            </w:r>
          </w:p>
        </w:tc>
        <w:tc>
          <w:tcPr>
            <w:tcW w:w="1204" w:type="dxa"/>
            <w:vAlign w:val="center"/>
          </w:tcPr>
          <w:p w14:paraId="19521533">
            <w:pPr>
              <w:jc w:val="center"/>
              <w:rPr>
                <w:rFonts w:hint="eastAsia" w:ascii="宋体" w:hAnsi="宋体" w:cs="Arial"/>
                <w:color w:val="333333"/>
                <w:kern w:val="0"/>
              </w:rPr>
            </w:pPr>
            <w:r>
              <w:rPr>
                <w:rFonts w:ascii="宋体" w:hAnsi="宋体" w:cs="Arial"/>
                <w:color w:val="333333"/>
                <w:kern w:val="0"/>
              </w:rPr>
              <w:t>≤</w:t>
            </w:r>
            <w:r>
              <w:rPr>
                <w:rFonts w:hint="eastAsia" w:ascii="宋体" w:hAnsi="宋体" w:cs="Arial"/>
                <w:color w:val="333333"/>
                <w:kern w:val="0"/>
              </w:rPr>
              <w:t>1</w:t>
            </w:r>
          </w:p>
        </w:tc>
        <w:tc>
          <w:tcPr>
            <w:tcW w:w="1204" w:type="dxa"/>
            <w:vAlign w:val="center"/>
          </w:tcPr>
          <w:p w14:paraId="7D040177">
            <w:pPr>
              <w:jc w:val="center"/>
              <w:rPr>
                <w:rFonts w:hint="eastAsia" w:ascii="宋体" w:hAnsi="宋体" w:cs="Arial"/>
                <w:color w:val="333333"/>
                <w:kern w:val="0"/>
              </w:rPr>
            </w:pPr>
            <w:r>
              <w:rPr>
                <w:rFonts w:hint="eastAsia" w:ascii="宋体" w:hAnsi="宋体" w:cs="Arial"/>
                <w:color w:val="333333"/>
                <w:kern w:val="0"/>
              </w:rPr>
              <w:t>＞1～2</w:t>
            </w:r>
          </w:p>
        </w:tc>
        <w:tc>
          <w:tcPr>
            <w:tcW w:w="1204" w:type="dxa"/>
            <w:vAlign w:val="center"/>
          </w:tcPr>
          <w:p w14:paraId="1DB93E6C">
            <w:pPr>
              <w:jc w:val="center"/>
              <w:rPr>
                <w:rFonts w:hint="eastAsia" w:ascii="宋体" w:hAnsi="宋体" w:cs="Arial"/>
                <w:color w:val="333333"/>
                <w:kern w:val="0"/>
              </w:rPr>
            </w:pPr>
            <w:r>
              <w:rPr>
                <w:rFonts w:hint="eastAsia" w:ascii="宋体" w:hAnsi="宋体" w:cs="Arial"/>
                <w:color w:val="333333"/>
                <w:kern w:val="0"/>
              </w:rPr>
              <w:t>＞2～3</w:t>
            </w:r>
          </w:p>
        </w:tc>
        <w:tc>
          <w:tcPr>
            <w:tcW w:w="1204" w:type="dxa"/>
            <w:vAlign w:val="center"/>
          </w:tcPr>
          <w:p w14:paraId="669C8960">
            <w:pPr>
              <w:jc w:val="center"/>
              <w:rPr>
                <w:rFonts w:hint="eastAsia" w:ascii="宋体" w:hAnsi="宋体" w:cs="Arial"/>
                <w:color w:val="333333"/>
                <w:kern w:val="0"/>
              </w:rPr>
            </w:pPr>
            <w:r>
              <w:rPr>
                <w:rFonts w:hint="eastAsia" w:ascii="宋体" w:hAnsi="宋体" w:cs="Arial"/>
                <w:color w:val="333333"/>
                <w:kern w:val="0"/>
              </w:rPr>
              <w:t>＞3～4</w:t>
            </w:r>
          </w:p>
        </w:tc>
        <w:tc>
          <w:tcPr>
            <w:tcW w:w="1204" w:type="dxa"/>
            <w:vAlign w:val="center"/>
          </w:tcPr>
          <w:p w14:paraId="1E4F2768">
            <w:pPr>
              <w:jc w:val="center"/>
              <w:rPr>
                <w:rFonts w:hint="eastAsia" w:ascii="宋体" w:hAnsi="宋体" w:cs="Arial"/>
                <w:color w:val="333333"/>
                <w:kern w:val="0"/>
              </w:rPr>
            </w:pPr>
            <w:r>
              <w:rPr>
                <w:rFonts w:hint="eastAsia" w:ascii="宋体" w:hAnsi="宋体" w:cs="Arial"/>
                <w:color w:val="333333"/>
                <w:kern w:val="0"/>
              </w:rPr>
              <w:t>＞4～6</w:t>
            </w:r>
          </w:p>
        </w:tc>
        <w:tc>
          <w:tcPr>
            <w:tcW w:w="1204" w:type="dxa"/>
            <w:vAlign w:val="center"/>
          </w:tcPr>
          <w:p w14:paraId="5DA77A1A">
            <w:pPr>
              <w:jc w:val="center"/>
              <w:rPr>
                <w:rFonts w:hint="eastAsia" w:ascii="宋体" w:hAnsi="宋体" w:cs="Arial"/>
                <w:color w:val="333333"/>
                <w:kern w:val="0"/>
              </w:rPr>
            </w:pPr>
            <w:r>
              <w:rPr>
                <w:rFonts w:hint="eastAsia" w:ascii="宋体" w:hAnsi="宋体" w:cs="Arial"/>
                <w:color w:val="333333"/>
                <w:kern w:val="0"/>
              </w:rPr>
              <w:t>＞6～8</w:t>
            </w:r>
          </w:p>
        </w:tc>
        <w:tc>
          <w:tcPr>
            <w:tcW w:w="1210" w:type="dxa"/>
            <w:vAlign w:val="center"/>
          </w:tcPr>
          <w:p w14:paraId="7D040F8F">
            <w:pPr>
              <w:jc w:val="center"/>
              <w:rPr>
                <w:rFonts w:hint="eastAsia" w:ascii="宋体" w:hAnsi="宋体" w:cs="Arial"/>
                <w:color w:val="333333"/>
                <w:kern w:val="0"/>
              </w:rPr>
            </w:pPr>
            <w:r>
              <w:rPr>
                <w:rFonts w:hint="eastAsia" w:ascii="宋体" w:hAnsi="宋体" w:cs="Arial"/>
                <w:color w:val="333333"/>
                <w:kern w:val="0"/>
              </w:rPr>
              <w:t>＞8</w:t>
            </w:r>
          </w:p>
        </w:tc>
      </w:tr>
      <w:tr w14:paraId="04CE9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04" w:type="dxa"/>
            <w:vAlign w:val="center"/>
          </w:tcPr>
          <w:p w14:paraId="68EC80C7">
            <w:pPr>
              <w:jc w:val="center"/>
              <w:rPr>
                <w:rFonts w:hint="eastAsia" w:ascii="宋体" w:hAnsi="宋体" w:cs="Arial"/>
                <w:color w:val="333333"/>
                <w:kern w:val="0"/>
              </w:rPr>
            </w:pPr>
            <w:r>
              <w:rPr>
                <w:rFonts w:hint="eastAsia" w:ascii="宋体" w:hAnsi="宋体" w:cs="Arial"/>
                <w:color w:val="333333"/>
                <w:kern w:val="0"/>
              </w:rPr>
              <w:t>缺陷点数</w:t>
            </w:r>
          </w:p>
        </w:tc>
        <w:tc>
          <w:tcPr>
            <w:tcW w:w="1204" w:type="dxa"/>
            <w:vAlign w:val="center"/>
          </w:tcPr>
          <w:p w14:paraId="5415453B">
            <w:pPr>
              <w:jc w:val="center"/>
              <w:rPr>
                <w:rFonts w:hint="eastAsia" w:ascii="宋体" w:hAnsi="宋体" w:cs="Arial"/>
                <w:color w:val="333333"/>
                <w:kern w:val="0"/>
              </w:rPr>
            </w:pPr>
            <w:r>
              <w:rPr>
                <w:rFonts w:hint="eastAsia" w:ascii="宋体" w:hAnsi="宋体" w:cs="Arial"/>
                <w:color w:val="333333"/>
                <w:kern w:val="0"/>
              </w:rPr>
              <w:t>1</w:t>
            </w:r>
          </w:p>
        </w:tc>
        <w:tc>
          <w:tcPr>
            <w:tcW w:w="1204" w:type="dxa"/>
            <w:vAlign w:val="center"/>
          </w:tcPr>
          <w:p w14:paraId="4F0DDAB3">
            <w:pPr>
              <w:jc w:val="center"/>
              <w:rPr>
                <w:rFonts w:hint="eastAsia" w:ascii="宋体" w:hAnsi="宋体" w:cs="Arial"/>
                <w:color w:val="333333"/>
                <w:kern w:val="0"/>
              </w:rPr>
            </w:pPr>
            <w:r>
              <w:rPr>
                <w:rFonts w:hint="eastAsia" w:ascii="宋体" w:hAnsi="宋体" w:cs="Arial"/>
                <w:color w:val="333333"/>
                <w:kern w:val="0"/>
              </w:rPr>
              <w:t>2</w:t>
            </w:r>
          </w:p>
        </w:tc>
        <w:tc>
          <w:tcPr>
            <w:tcW w:w="1204" w:type="dxa"/>
            <w:vAlign w:val="center"/>
          </w:tcPr>
          <w:p w14:paraId="618BDEF1">
            <w:pPr>
              <w:jc w:val="center"/>
              <w:rPr>
                <w:rFonts w:hint="eastAsia" w:ascii="宋体" w:hAnsi="宋体" w:cs="Arial"/>
                <w:color w:val="333333"/>
                <w:kern w:val="0"/>
              </w:rPr>
            </w:pPr>
            <w:r>
              <w:rPr>
                <w:rFonts w:hint="eastAsia" w:ascii="宋体" w:hAnsi="宋体" w:cs="Arial"/>
                <w:color w:val="333333"/>
                <w:kern w:val="0"/>
              </w:rPr>
              <w:t>3</w:t>
            </w:r>
          </w:p>
        </w:tc>
        <w:tc>
          <w:tcPr>
            <w:tcW w:w="1204" w:type="dxa"/>
            <w:vAlign w:val="center"/>
          </w:tcPr>
          <w:p w14:paraId="4DF49C31">
            <w:pPr>
              <w:jc w:val="center"/>
              <w:rPr>
                <w:rFonts w:hint="eastAsia" w:ascii="宋体" w:hAnsi="宋体" w:cs="Arial"/>
                <w:color w:val="333333"/>
                <w:kern w:val="0"/>
              </w:rPr>
            </w:pPr>
            <w:r>
              <w:rPr>
                <w:rFonts w:hint="eastAsia" w:ascii="宋体" w:hAnsi="宋体" w:cs="Arial"/>
                <w:color w:val="333333"/>
                <w:kern w:val="0"/>
              </w:rPr>
              <w:t>6</w:t>
            </w:r>
          </w:p>
        </w:tc>
        <w:tc>
          <w:tcPr>
            <w:tcW w:w="1204" w:type="dxa"/>
            <w:vAlign w:val="center"/>
          </w:tcPr>
          <w:p w14:paraId="3C18D912">
            <w:pPr>
              <w:jc w:val="center"/>
              <w:rPr>
                <w:rFonts w:hint="eastAsia" w:ascii="宋体" w:hAnsi="宋体" w:cs="Arial"/>
                <w:color w:val="333333"/>
                <w:kern w:val="0"/>
              </w:rPr>
            </w:pPr>
            <w:r>
              <w:rPr>
                <w:rFonts w:hint="eastAsia" w:ascii="宋体" w:hAnsi="宋体" w:cs="Arial"/>
                <w:color w:val="333333"/>
                <w:kern w:val="0"/>
              </w:rPr>
              <w:t>10</w:t>
            </w:r>
          </w:p>
        </w:tc>
        <w:tc>
          <w:tcPr>
            <w:tcW w:w="1204" w:type="dxa"/>
            <w:vAlign w:val="center"/>
          </w:tcPr>
          <w:p w14:paraId="204C5624">
            <w:pPr>
              <w:jc w:val="center"/>
              <w:rPr>
                <w:rFonts w:hint="eastAsia" w:ascii="宋体" w:hAnsi="宋体" w:cs="Arial"/>
                <w:color w:val="333333"/>
                <w:kern w:val="0"/>
              </w:rPr>
            </w:pPr>
            <w:r>
              <w:rPr>
                <w:rFonts w:hint="eastAsia" w:ascii="宋体" w:hAnsi="宋体" w:cs="Arial"/>
                <w:color w:val="333333"/>
                <w:kern w:val="0"/>
              </w:rPr>
              <w:t>15</w:t>
            </w:r>
          </w:p>
        </w:tc>
        <w:tc>
          <w:tcPr>
            <w:tcW w:w="1210" w:type="dxa"/>
            <w:vAlign w:val="center"/>
          </w:tcPr>
          <w:p w14:paraId="2B916B50">
            <w:pPr>
              <w:jc w:val="center"/>
              <w:rPr>
                <w:rFonts w:hint="eastAsia" w:ascii="宋体" w:hAnsi="宋体" w:cs="Arial"/>
                <w:color w:val="333333"/>
                <w:kern w:val="0"/>
              </w:rPr>
            </w:pPr>
            <w:r>
              <w:rPr>
                <w:rFonts w:hint="eastAsia" w:ascii="宋体" w:hAnsi="宋体" w:cs="Arial"/>
                <w:color w:val="333333"/>
                <w:kern w:val="0"/>
              </w:rPr>
              <w:t>25</w:t>
            </w:r>
          </w:p>
        </w:tc>
      </w:tr>
    </w:tbl>
    <w:p w14:paraId="03FAEC15">
      <w:pPr>
        <w:pStyle w:val="77"/>
        <w:spacing w:before="156" w:after="156"/>
      </w:pPr>
      <w:r>
        <w:rPr>
          <w:rFonts w:hint="eastAsia"/>
        </w:rPr>
        <w:t>允许的圆形缺陷点数</w:t>
      </w:r>
    </w:p>
    <w:tbl>
      <w:tblPr>
        <w:tblStyle w:val="27"/>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6"/>
        <w:gridCol w:w="1606"/>
        <w:gridCol w:w="1606"/>
        <w:gridCol w:w="1606"/>
        <w:gridCol w:w="1606"/>
        <w:gridCol w:w="1608"/>
      </w:tblGrid>
      <w:tr w14:paraId="5091C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4C3FA48A">
            <w:pPr>
              <w:jc w:val="center"/>
              <w:rPr>
                <w:rFonts w:hint="eastAsia" w:ascii="宋体" w:hAnsi="宋体" w:cs="Arial"/>
                <w:color w:val="333333"/>
                <w:kern w:val="0"/>
              </w:rPr>
            </w:pPr>
            <w:r>
              <w:rPr>
                <w:rFonts w:hint="eastAsia" w:ascii="宋体" w:hAnsi="宋体" w:cs="Arial"/>
                <w:color w:val="333333"/>
                <w:kern w:val="0"/>
              </w:rPr>
              <w:t>评定区/mm×mm</w:t>
            </w:r>
          </w:p>
        </w:tc>
        <w:tc>
          <w:tcPr>
            <w:tcW w:w="4818" w:type="dxa"/>
            <w:gridSpan w:val="3"/>
            <w:vAlign w:val="center"/>
          </w:tcPr>
          <w:p w14:paraId="409823D7">
            <w:pPr>
              <w:jc w:val="center"/>
              <w:rPr>
                <w:rFonts w:hint="eastAsia" w:ascii="宋体" w:hAnsi="宋体" w:cs="Arial"/>
                <w:color w:val="333333"/>
                <w:kern w:val="0"/>
              </w:rPr>
            </w:pPr>
            <w:r>
              <w:rPr>
                <w:rFonts w:hint="eastAsia" w:ascii="宋体" w:hAnsi="宋体" w:cs="Arial"/>
                <w:color w:val="333333"/>
                <w:kern w:val="0"/>
              </w:rPr>
              <w:t>10×10</w:t>
            </w:r>
          </w:p>
        </w:tc>
        <w:tc>
          <w:tcPr>
            <w:tcW w:w="3214" w:type="dxa"/>
            <w:gridSpan w:val="2"/>
            <w:vAlign w:val="center"/>
          </w:tcPr>
          <w:p w14:paraId="27A3C38D">
            <w:pPr>
              <w:jc w:val="center"/>
              <w:rPr>
                <w:rFonts w:hint="eastAsia" w:ascii="宋体" w:hAnsi="宋体" w:cs="Arial"/>
                <w:color w:val="333333"/>
                <w:kern w:val="0"/>
              </w:rPr>
            </w:pPr>
            <w:r>
              <w:rPr>
                <w:rFonts w:hint="eastAsia" w:ascii="宋体" w:hAnsi="宋体" w:cs="Arial"/>
                <w:color w:val="333333"/>
                <w:kern w:val="0"/>
              </w:rPr>
              <w:t>10×20</w:t>
            </w:r>
          </w:p>
        </w:tc>
      </w:tr>
      <w:tr w14:paraId="5D99B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038834C2">
            <w:pPr>
              <w:jc w:val="center"/>
              <w:rPr>
                <w:rFonts w:hint="eastAsia" w:ascii="宋体" w:hAnsi="宋体" w:cs="Arial"/>
                <w:color w:val="333333"/>
                <w:kern w:val="0"/>
              </w:rPr>
            </w:pPr>
            <w:r>
              <w:rPr>
                <w:rFonts w:hint="eastAsia" w:ascii="宋体" w:hAnsi="宋体" w:cs="Arial"/>
                <w:color w:val="333333"/>
                <w:kern w:val="0"/>
              </w:rPr>
              <w:t>母材公称厚度T/mm</w:t>
            </w:r>
          </w:p>
        </w:tc>
        <w:tc>
          <w:tcPr>
            <w:tcW w:w="1606" w:type="dxa"/>
            <w:vAlign w:val="center"/>
          </w:tcPr>
          <w:p w14:paraId="1B5CA9BB">
            <w:pPr>
              <w:jc w:val="center"/>
              <w:rPr>
                <w:rFonts w:hint="eastAsia" w:ascii="宋体" w:hAnsi="宋体" w:cs="Arial"/>
                <w:color w:val="333333"/>
                <w:kern w:val="0"/>
              </w:rPr>
            </w:pPr>
            <w:r>
              <w:rPr>
                <w:rFonts w:ascii="宋体" w:hAnsi="宋体" w:cs="Arial"/>
                <w:color w:val="333333"/>
                <w:kern w:val="0"/>
              </w:rPr>
              <w:t>≤</w:t>
            </w:r>
            <w:r>
              <w:rPr>
                <w:rFonts w:hint="eastAsia" w:ascii="宋体" w:hAnsi="宋体" w:cs="Arial"/>
                <w:color w:val="333333"/>
                <w:kern w:val="0"/>
              </w:rPr>
              <w:t>10</w:t>
            </w:r>
          </w:p>
        </w:tc>
        <w:tc>
          <w:tcPr>
            <w:tcW w:w="1606" w:type="dxa"/>
            <w:vAlign w:val="center"/>
          </w:tcPr>
          <w:p w14:paraId="4CE827B3">
            <w:pPr>
              <w:jc w:val="center"/>
              <w:rPr>
                <w:rFonts w:hint="eastAsia" w:ascii="宋体" w:hAnsi="宋体" w:cs="Arial"/>
                <w:color w:val="333333"/>
                <w:kern w:val="0"/>
              </w:rPr>
            </w:pPr>
            <w:r>
              <w:rPr>
                <w:rFonts w:hint="eastAsia" w:ascii="宋体" w:hAnsi="宋体" w:cs="Arial"/>
                <w:color w:val="333333"/>
                <w:kern w:val="0"/>
              </w:rPr>
              <w:t>＞10～15</w:t>
            </w:r>
          </w:p>
        </w:tc>
        <w:tc>
          <w:tcPr>
            <w:tcW w:w="1606" w:type="dxa"/>
            <w:vAlign w:val="center"/>
          </w:tcPr>
          <w:p w14:paraId="0147E3C9">
            <w:pPr>
              <w:jc w:val="center"/>
              <w:rPr>
                <w:rFonts w:hint="eastAsia" w:ascii="宋体" w:hAnsi="宋体" w:cs="Arial"/>
                <w:color w:val="333333"/>
                <w:kern w:val="0"/>
              </w:rPr>
            </w:pPr>
            <w:r>
              <w:rPr>
                <w:rFonts w:hint="eastAsia" w:ascii="宋体" w:hAnsi="宋体" w:cs="Arial"/>
                <w:color w:val="333333"/>
                <w:kern w:val="0"/>
              </w:rPr>
              <w:t>＞15～25</w:t>
            </w:r>
          </w:p>
        </w:tc>
        <w:tc>
          <w:tcPr>
            <w:tcW w:w="1606" w:type="dxa"/>
            <w:vAlign w:val="center"/>
          </w:tcPr>
          <w:p w14:paraId="3DFA3CC2">
            <w:pPr>
              <w:jc w:val="center"/>
              <w:rPr>
                <w:rFonts w:hint="eastAsia" w:ascii="宋体" w:hAnsi="宋体" w:cs="Arial"/>
                <w:color w:val="333333"/>
                <w:kern w:val="0"/>
              </w:rPr>
            </w:pPr>
            <w:r>
              <w:rPr>
                <w:rFonts w:hint="eastAsia" w:ascii="宋体" w:hAnsi="宋体" w:cs="Arial"/>
                <w:color w:val="333333"/>
                <w:kern w:val="0"/>
              </w:rPr>
              <w:t>＞25～50</w:t>
            </w:r>
          </w:p>
        </w:tc>
        <w:tc>
          <w:tcPr>
            <w:tcW w:w="1608" w:type="dxa"/>
            <w:vAlign w:val="center"/>
          </w:tcPr>
          <w:p w14:paraId="43F9B4CC">
            <w:pPr>
              <w:jc w:val="center"/>
              <w:rPr>
                <w:rFonts w:hint="eastAsia" w:ascii="宋体" w:hAnsi="宋体" w:cs="Arial"/>
                <w:color w:val="333333"/>
                <w:kern w:val="0"/>
              </w:rPr>
            </w:pPr>
            <w:r>
              <w:rPr>
                <w:rFonts w:hint="eastAsia" w:ascii="宋体" w:hAnsi="宋体" w:cs="Arial"/>
                <w:color w:val="333333"/>
                <w:kern w:val="0"/>
              </w:rPr>
              <w:t>＞50～60</w:t>
            </w:r>
          </w:p>
        </w:tc>
      </w:tr>
      <w:tr w14:paraId="3556D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6E336CD2">
            <w:pPr>
              <w:jc w:val="center"/>
              <w:rPr>
                <w:rFonts w:hint="eastAsia" w:ascii="宋体" w:hAnsi="宋体" w:cs="Arial"/>
                <w:color w:val="333333"/>
                <w:kern w:val="0"/>
              </w:rPr>
            </w:pPr>
            <w:r>
              <w:rPr>
                <w:rFonts w:hint="eastAsia" w:ascii="宋体" w:hAnsi="宋体" w:cs="Arial"/>
                <w:color w:val="333333"/>
                <w:kern w:val="0"/>
              </w:rPr>
              <w:t>Ⅰ级</w:t>
            </w:r>
          </w:p>
        </w:tc>
        <w:tc>
          <w:tcPr>
            <w:tcW w:w="1606" w:type="dxa"/>
            <w:vAlign w:val="center"/>
          </w:tcPr>
          <w:p w14:paraId="45E2ACEC">
            <w:pPr>
              <w:jc w:val="center"/>
              <w:rPr>
                <w:rFonts w:hint="eastAsia" w:ascii="宋体" w:hAnsi="宋体" w:cs="Arial"/>
                <w:color w:val="333333"/>
                <w:kern w:val="0"/>
              </w:rPr>
            </w:pPr>
            <w:r>
              <w:rPr>
                <w:rFonts w:hint="eastAsia" w:ascii="宋体" w:hAnsi="宋体" w:cs="Arial"/>
                <w:color w:val="333333"/>
                <w:kern w:val="0"/>
              </w:rPr>
              <w:t>1</w:t>
            </w:r>
          </w:p>
        </w:tc>
        <w:tc>
          <w:tcPr>
            <w:tcW w:w="1606" w:type="dxa"/>
            <w:vAlign w:val="center"/>
          </w:tcPr>
          <w:p w14:paraId="2410C4A9">
            <w:pPr>
              <w:jc w:val="center"/>
              <w:rPr>
                <w:rFonts w:hint="eastAsia" w:ascii="宋体" w:hAnsi="宋体" w:cs="Arial"/>
                <w:color w:val="333333"/>
                <w:kern w:val="0"/>
              </w:rPr>
            </w:pPr>
            <w:r>
              <w:rPr>
                <w:rFonts w:hint="eastAsia" w:ascii="宋体" w:hAnsi="宋体" w:cs="Arial"/>
                <w:color w:val="333333"/>
                <w:kern w:val="0"/>
              </w:rPr>
              <w:t>2</w:t>
            </w:r>
          </w:p>
        </w:tc>
        <w:tc>
          <w:tcPr>
            <w:tcW w:w="1606" w:type="dxa"/>
            <w:vAlign w:val="center"/>
          </w:tcPr>
          <w:p w14:paraId="32554297">
            <w:pPr>
              <w:jc w:val="center"/>
              <w:rPr>
                <w:rFonts w:hint="eastAsia" w:ascii="宋体" w:hAnsi="宋体" w:cs="Arial"/>
                <w:color w:val="333333"/>
                <w:kern w:val="0"/>
              </w:rPr>
            </w:pPr>
            <w:r>
              <w:rPr>
                <w:rFonts w:hint="eastAsia" w:ascii="宋体" w:hAnsi="宋体" w:cs="Arial"/>
                <w:color w:val="333333"/>
                <w:kern w:val="0"/>
              </w:rPr>
              <w:t>3</w:t>
            </w:r>
          </w:p>
        </w:tc>
        <w:tc>
          <w:tcPr>
            <w:tcW w:w="1606" w:type="dxa"/>
            <w:vAlign w:val="center"/>
          </w:tcPr>
          <w:p w14:paraId="0BE8615E">
            <w:pPr>
              <w:jc w:val="center"/>
              <w:rPr>
                <w:rFonts w:hint="eastAsia" w:ascii="宋体" w:hAnsi="宋体" w:cs="Arial"/>
                <w:color w:val="333333"/>
                <w:kern w:val="0"/>
              </w:rPr>
            </w:pPr>
            <w:r>
              <w:rPr>
                <w:rFonts w:hint="eastAsia" w:ascii="宋体" w:hAnsi="宋体" w:cs="Arial"/>
                <w:color w:val="333333"/>
                <w:kern w:val="0"/>
              </w:rPr>
              <w:t>4</w:t>
            </w:r>
          </w:p>
        </w:tc>
        <w:tc>
          <w:tcPr>
            <w:tcW w:w="1608" w:type="dxa"/>
            <w:vAlign w:val="center"/>
          </w:tcPr>
          <w:p w14:paraId="6CEC03B3">
            <w:pPr>
              <w:jc w:val="center"/>
              <w:rPr>
                <w:rFonts w:hint="eastAsia" w:ascii="宋体" w:hAnsi="宋体" w:cs="Arial"/>
                <w:color w:val="333333"/>
                <w:kern w:val="0"/>
              </w:rPr>
            </w:pPr>
            <w:r>
              <w:rPr>
                <w:rFonts w:hint="eastAsia" w:ascii="宋体" w:hAnsi="宋体" w:cs="Arial"/>
                <w:color w:val="333333"/>
                <w:kern w:val="0"/>
              </w:rPr>
              <w:t>5</w:t>
            </w:r>
          </w:p>
        </w:tc>
      </w:tr>
      <w:tr w14:paraId="069FA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60AFBED6">
            <w:pPr>
              <w:jc w:val="center"/>
              <w:rPr>
                <w:rFonts w:hint="eastAsia" w:ascii="宋体" w:hAnsi="宋体" w:cs="Arial"/>
                <w:color w:val="333333"/>
                <w:kern w:val="0"/>
              </w:rPr>
            </w:pPr>
            <w:r>
              <w:rPr>
                <w:rFonts w:hint="eastAsia" w:ascii="宋体" w:hAnsi="宋体" w:cs="Arial"/>
                <w:color w:val="333333"/>
                <w:kern w:val="0"/>
              </w:rPr>
              <w:t>Ⅱ级</w:t>
            </w:r>
          </w:p>
        </w:tc>
        <w:tc>
          <w:tcPr>
            <w:tcW w:w="1606" w:type="dxa"/>
            <w:vAlign w:val="center"/>
          </w:tcPr>
          <w:p w14:paraId="513904B0">
            <w:pPr>
              <w:jc w:val="center"/>
              <w:rPr>
                <w:rFonts w:hint="eastAsia" w:ascii="宋体" w:hAnsi="宋体" w:cs="Arial"/>
                <w:color w:val="333333"/>
                <w:kern w:val="0"/>
              </w:rPr>
            </w:pPr>
            <w:r>
              <w:rPr>
                <w:rFonts w:hint="eastAsia" w:ascii="宋体" w:hAnsi="宋体" w:cs="Arial"/>
                <w:color w:val="333333"/>
                <w:kern w:val="0"/>
              </w:rPr>
              <w:t>3</w:t>
            </w:r>
          </w:p>
        </w:tc>
        <w:tc>
          <w:tcPr>
            <w:tcW w:w="1606" w:type="dxa"/>
            <w:vAlign w:val="center"/>
          </w:tcPr>
          <w:p w14:paraId="1375B1D3">
            <w:pPr>
              <w:jc w:val="center"/>
              <w:rPr>
                <w:rFonts w:hint="eastAsia" w:ascii="宋体" w:hAnsi="宋体" w:cs="Arial"/>
                <w:color w:val="333333"/>
                <w:kern w:val="0"/>
              </w:rPr>
            </w:pPr>
            <w:r>
              <w:rPr>
                <w:rFonts w:hint="eastAsia" w:ascii="宋体" w:hAnsi="宋体" w:cs="Arial"/>
                <w:color w:val="333333"/>
                <w:kern w:val="0"/>
              </w:rPr>
              <w:t>6</w:t>
            </w:r>
          </w:p>
        </w:tc>
        <w:tc>
          <w:tcPr>
            <w:tcW w:w="1606" w:type="dxa"/>
            <w:vAlign w:val="center"/>
          </w:tcPr>
          <w:p w14:paraId="2533B5FC">
            <w:pPr>
              <w:jc w:val="center"/>
              <w:rPr>
                <w:rFonts w:hint="eastAsia" w:ascii="宋体" w:hAnsi="宋体" w:cs="Arial"/>
                <w:color w:val="333333"/>
                <w:kern w:val="0"/>
              </w:rPr>
            </w:pPr>
            <w:r>
              <w:rPr>
                <w:rFonts w:hint="eastAsia" w:ascii="宋体" w:hAnsi="宋体" w:cs="Arial"/>
                <w:color w:val="333333"/>
                <w:kern w:val="0"/>
              </w:rPr>
              <w:t>9</w:t>
            </w:r>
          </w:p>
        </w:tc>
        <w:tc>
          <w:tcPr>
            <w:tcW w:w="1606" w:type="dxa"/>
            <w:vAlign w:val="center"/>
          </w:tcPr>
          <w:p w14:paraId="4BD93F37">
            <w:pPr>
              <w:jc w:val="center"/>
              <w:rPr>
                <w:rFonts w:hint="eastAsia" w:ascii="宋体" w:hAnsi="宋体" w:cs="Arial"/>
                <w:color w:val="333333"/>
                <w:kern w:val="0"/>
              </w:rPr>
            </w:pPr>
            <w:r>
              <w:rPr>
                <w:rFonts w:hint="eastAsia" w:ascii="宋体" w:hAnsi="宋体" w:cs="Arial"/>
                <w:color w:val="333333"/>
                <w:kern w:val="0"/>
              </w:rPr>
              <w:t>12</w:t>
            </w:r>
          </w:p>
        </w:tc>
        <w:tc>
          <w:tcPr>
            <w:tcW w:w="1608" w:type="dxa"/>
            <w:vAlign w:val="center"/>
          </w:tcPr>
          <w:p w14:paraId="685B036F">
            <w:pPr>
              <w:jc w:val="center"/>
              <w:rPr>
                <w:rFonts w:hint="eastAsia" w:ascii="宋体" w:hAnsi="宋体" w:cs="Arial"/>
                <w:color w:val="333333"/>
                <w:kern w:val="0"/>
              </w:rPr>
            </w:pPr>
            <w:r>
              <w:rPr>
                <w:rFonts w:hint="eastAsia" w:ascii="宋体" w:hAnsi="宋体" w:cs="Arial"/>
                <w:color w:val="333333"/>
                <w:kern w:val="0"/>
              </w:rPr>
              <w:t>15</w:t>
            </w:r>
          </w:p>
        </w:tc>
      </w:tr>
      <w:tr w14:paraId="2411E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36C0172F">
            <w:pPr>
              <w:jc w:val="center"/>
              <w:rPr>
                <w:rFonts w:hint="eastAsia" w:ascii="宋体" w:hAnsi="宋体" w:cs="Arial"/>
                <w:color w:val="333333"/>
                <w:kern w:val="0"/>
              </w:rPr>
            </w:pPr>
            <w:r>
              <w:rPr>
                <w:rFonts w:hint="eastAsia" w:ascii="宋体" w:hAnsi="宋体" w:cs="Arial"/>
                <w:color w:val="333333"/>
                <w:kern w:val="0"/>
              </w:rPr>
              <w:t>Ⅲ级</w:t>
            </w:r>
          </w:p>
        </w:tc>
        <w:tc>
          <w:tcPr>
            <w:tcW w:w="1606" w:type="dxa"/>
            <w:vAlign w:val="center"/>
          </w:tcPr>
          <w:p w14:paraId="02463906">
            <w:pPr>
              <w:jc w:val="center"/>
              <w:rPr>
                <w:rFonts w:hint="eastAsia" w:ascii="宋体" w:hAnsi="宋体" w:cs="Arial"/>
                <w:color w:val="333333"/>
                <w:kern w:val="0"/>
              </w:rPr>
            </w:pPr>
            <w:r>
              <w:rPr>
                <w:rFonts w:hint="eastAsia" w:ascii="宋体" w:hAnsi="宋体" w:cs="Arial"/>
                <w:color w:val="333333"/>
                <w:kern w:val="0"/>
              </w:rPr>
              <w:t>6</w:t>
            </w:r>
          </w:p>
        </w:tc>
        <w:tc>
          <w:tcPr>
            <w:tcW w:w="1606" w:type="dxa"/>
            <w:vAlign w:val="center"/>
          </w:tcPr>
          <w:p w14:paraId="5B065194">
            <w:pPr>
              <w:jc w:val="center"/>
              <w:rPr>
                <w:rFonts w:hint="eastAsia" w:ascii="宋体" w:hAnsi="宋体" w:cs="Arial"/>
                <w:color w:val="333333"/>
                <w:kern w:val="0"/>
              </w:rPr>
            </w:pPr>
            <w:r>
              <w:rPr>
                <w:rFonts w:hint="eastAsia" w:ascii="宋体" w:hAnsi="宋体" w:cs="Arial"/>
                <w:color w:val="333333"/>
                <w:kern w:val="0"/>
              </w:rPr>
              <w:t>12</w:t>
            </w:r>
          </w:p>
        </w:tc>
        <w:tc>
          <w:tcPr>
            <w:tcW w:w="1606" w:type="dxa"/>
            <w:vAlign w:val="center"/>
          </w:tcPr>
          <w:p w14:paraId="1C746FAA">
            <w:pPr>
              <w:jc w:val="center"/>
              <w:rPr>
                <w:rFonts w:hint="eastAsia" w:ascii="宋体" w:hAnsi="宋体" w:cs="Arial"/>
                <w:color w:val="333333"/>
                <w:kern w:val="0"/>
              </w:rPr>
            </w:pPr>
            <w:r>
              <w:rPr>
                <w:rFonts w:hint="eastAsia" w:ascii="宋体" w:hAnsi="宋体" w:cs="Arial"/>
                <w:color w:val="333333"/>
                <w:kern w:val="0"/>
              </w:rPr>
              <w:t>18</w:t>
            </w:r>
          </w:p>
        </w:tc>
        <w:tc>
          <w:tcPr>
            <w:tcW w:w="1606" w:type="dxa"/>
            <w:vAlign w:val="center"/>
          </w:tcPr>
          <w:p w14:paraId="39EC8F85">
            <w:pPr>
              <w:jc w:val="center"/>
              <w:rPr>
                <w:rFonts w:hint="eastAsia" w:ascii="宋体" w:hAnsi="宋体" w:cs="Arial"/>
                <w:color w:val="333333"/>
                <w:kern w:val="0"/>
              </w:rPr>
            </w:pPr>
            <w:r>
              <w:rPr>
                <w:rFonts w:hint="eastAsia" w:ascii="宋体" w:hAnsi="宋体" w:cs="Arial"/>
                <w:color w:val="333333"/>
                <w:kern w:val="0"/>
              </w:rPr>
              <w:t>24</w:t>
            </w:r>
          </w:p>
        </w:tc>
        <w:tc>
          <w:tcPr>
            <w:tcW w:w="1608" w:type="dxa"/>
            <w:vAlign w:val="center"/>
          </w:tcPr>
          <w:p w14:paraId="434AB516">
            <w:pPr>
              <w:jc w:val="center"/>
              <w:rPr>
                <w:rFonts w:hint="eastAsia" w:ascii="宋体" w:hAnsi="宋体" w:cs="Arial"/>
                <w:color w:val="333333"/>
                <w:kern w:val="0"/>
              </w:rPr>
            </w:pPr>
            <w:r>
              <w:rPr>
                <w:rFonts w:hint="eastAsia" w:ascii="宋体" w:hAnsi="宋体" w:cs="Arial"/>
                <w:color w:val="333333"/>
                <w:kern w:val="0"/>
              </w:rPr>
              <w:t>30</w:t>
            </w:r>
          </w:p>
        </w:tc>
      </w:tr>
      <w:tr w14:paraId="41C00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06" w:type="dxa"/>
            <w:vAlign w:val="center"/>
          </w:tcPr>
          <w:p w14:paraId="5E3E8623">
            <w:pPr>
              <w:jc w:val="center"/>
              <w:rPr>
                <w:rFonts w:hint="eastAsia" w:ascii="宋体" w:hAnsi="宋体" w:cs="Arial"/>
                <w:color w:val="333333"/>
                <w:kern w:val="0"/>
              </w:rPr>
            </w:pPr>
            <w:r>
              <w:rPr>
                <w:rFonts w:hint="eastAsia" w:ascii="宋体" w:hAnsi="宋体" w:cs="Arial"/>
                <w:color w:val="333333"/>
                <w:kern w:val="0"/>
              </w:rPr>
              <w:t>Ⅳ级</w:t>
            </w:r>
          </w:p>
        </w:tc>
        <w:tc>
          <w:tcPr>
            <w:tcW w:w="8032" w:type="dxa"/>
            <w:gridSpan w:val="5"/>
            <w:vAlign w:val="center"/>
          </w:tcPr>
          <w:p w14:paraId="1FACC2F6">
            <w:pPr>
              <w:jc w:val="center"/>
              <w:rPr>
                <w:rFonts w:hint="eastAsia" w:ascii="宋体" w:hAnsi="宋体" w:cs="Arial"/>
                <w:color w:val="333333"/>
                <w:kern w:val="0"/>
              </w:rPr>
            </w:pPr>
            <w:r>
              <w:rPr>
                <w:rFonts w:hint="eastAsia" w:ascii="宋体" w:hAnsi="宋体" w:cs="Arial"/>
                <w:color w:val="333333"/>
                <w:kern w:val="0"/>
              </w:rPr>
              <w:t>缺陷点数大于Ⅲ级或缺陷长径大于T/2</w:t>
            </w:r>
          </w:p>
        </w:tc>
      </w:tr>
    </w:tbl>
    <w:p w14:paraId="7FD16D9C">
      <w:pPr>
        <w:widowControl/>
        <w:numPr>
          <w:ilvl w:val="2"/>
          <w:numId w:val="0"/>
        </w:numPr>
        <w:adjustRightInd/>
        <w:spacing w:line="240" w:lineRule="auto"/>
        <w:rPr>
          <w:rFonts w:ascii="宋体" w:hAnsi="Times New Roman"/>
          <w:kern w:val="0"/>
          <w:szCs w:val="20"/>
        </w:rPr>
      </w:pPr>
      <w:r>
        <w:rPr>
          <w:rFonts w:hint="eastAsia" w:ascii="宋体" w:hAnsi="Times New Roman"/>
          <w:kern w:val="0"/>
          <w:szCs w:val="20"/>
        </w:rPr>
        <w:t>条形缺陷按表7-4的规定进行分级评定。</w:t>
      </w:r>
    </w:p>
    <w:p w14:paraId="206702A5">
      <w:pPr>
        <w:pStyle w:val="77"/>
        <w:spacing w:before="156" w:after="156"/>
      </w:pPr>
      <w:r>
        <w:rPr>
          <w:rFonts w:hint="eastAsia"/>
        </w:rPr>
        <w:t>允许的条形缺陷长度</w:t>
      </w:r>
    </w:p>
    <w:tbl>
      <w:tblPr>
        <w:tblStyle w:val="27"/>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7"/>
        <w:gridCol w:w="3854"/>
        <w:gridCol w:w="3857"/>
      </w:tblGrid>
      <w:tr w14:paraId="01778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38" w:type="dxa"/>
            <w:gridSpan w:val="3"/>
            <w:tcBorders>
              <w:top w:val="nil"/>
              <w:left w:val="nil"/>
              <w:right w:val="nil"/>
            </w:tcBorders>
            <w:vAlign w:val="center"/>
          </w:tcPr>
          <w:p w14:paraId="2ADD28EB">
            <w:pPr>
              <w:spacing w:after="156" w:afterLines="50"/>
              <w:ind w:firstLine="420"/>
              <w:jc w:val="right"/>
              <w:rPr>
                <w:rFonts w:hint="eastAsia" w:ascii="宋体" w:hAnsi="宋体" w:cs="Arial"/>
                <w:color w:val="333333"/>
                <w:kern w:val="0"/>
              </w:rPr>
            </w:pPr>
            <w:r>
              <w:rPr>
                <w:rFonts w:hint="eastAsia" w:ascii="宋体" w:hAnsi="宋体" w:cs="Arial"/>
                <w:color w:val="333333"/>
                <w:kern w:val="0"/>
              </w:rPr>
              <w:t>单位：mm</w:t>
            </w:r>
          </w:p>
        </w:tc>
      </w:tr>
      <w:tr w14:paraId="147B0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7" w:type="dxa"/>
            <w:vAlign w:val="center"/>
          </w:tcPr>
          <w:p w14:paraId="60E7C4B2">
            <w:pPr>
              <w:jc w:val="center"/>
              <w:rPr>
                <w:rFonts w:hint="eastAsia" w:ascii="宋体" w:hAnsi="宋体" w:cs="Arial"/>
                <w:color w:val="333333"/>
                <w:kern w:val="0"/>
              </w:rPr>
            </w:pPr>
            <w:r>
              <w:rPr>
                <w:rFonts w:hint="eastAsia" w:ascii="宋体" w:hAnsi="宋体" w:cs="Arial"/>
                <w:color w:val="333333"/>
                <w:kern w:val="0"/>
              </w:rPr>
              <w:t>级别</w:t>
            </w:r>
          </w:p>
        </w:tc>
        <w:tc>
          <w:tcPr>
            <w:tcW w:w="3854" w:type="dxa"/>
            <w:vAlign w:val="center"/>
          </w:tcPr>
          <w:p w14:paraId="3671DCBF">
            <w:pPr>
              <w:jc w:val="center"/>
              <w:rPr>
                <w:rFonts w:hint="eastAsia" w:ascii="宋体" w:hAnsi="宋体" w:cs="Arial"/>
                <w:color w:val="333333"/>
                <w:kern w:val="0"/>
              </w:rPr>
            </w:pPr>
            <w:r>
              <w:rPr>
                <w:rFonts w:hint="eastAsia" w:ascii="宋体" w:hAnsi="宋体" w:cs="Arial"/>
                <w:color w:val="333333"/>
                <w:kern w:val="0"/>
              </w:rPr>
              <w:t>单个条形缺陷最大长度</w:t>
            </w:r>
          </w:p>
        </w:tc>
        <w:tc>
          <w:tcPr>
            <w:tcW w:w="3857" w:type="dxa"/>
            <w:vAlign w:val="center"/>
          </w:tcPr>
          <w:p w14:paraId="492E68E6">
            <w:pPr>
              <w:jc w:val="center"/>
              <w:rPr>
                <w:rFonts w:hint="eastAsia" w:ascii="宋体" w:hAnsi="宋体" w:cs="Arial"/>
                <w:color w:val="333333"/>
                <w:kern w:val="0"/>
              </w:rPr>
            </w:pPr>
            <w:r>
              <w:rPr>
                <w:rFonts w:hint="eastAsia" w:ascii="宋体" w:hAnsi="宋体" w:cs="Arial"/>
                <w:color w:val="333333"/>
                <w:kern w:val="0"/>
              </w:rPr>
              <w:t>一组条形缺陷累计最大长度</w:t>
            </w:r>
          </w:p>
        </w:tc>
      </w:tr>
      <w:tr w14:paraId="02F88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7" w:type="dxa"/>
            <w:vAlign w:val="center"/>
          </w:tcPr>
          <w:p w14:paraId="4FBE1E0E">
            <w:pPr>
              <w:jc w:val="center"/>
              <w:rPr>
                <w:rFonts w:hint="eastAsia" w:ascii="宋体" w:hAnsi="宋体" w:cs="Arial"/>
                <w:color w:val="333333"/>
                <w:kern w:val="0"/>
              </w:rPr>
            </w:pPr>
            <w:r>
              <w:rPr>
                <w:rFonts w:hint="eastAsia" w:ascii="宋体" w:hAnsi="宋体" w:cs="Arial"/>
                <w:color w:val="333333"/>
                <w:kern w:val="0"/>
              </w:rPr>
              <w:t>Ⅰ</w:t>
            </w:r>
          </w:p>
        </w:tc>
        <w:tc>
          <w:tcPr>
            <w:tcW w:w="7711" w:type="dxa"/>
            <w:gridSpan w:val="2"/>
            <w:vAlign w:val="center"/>
          </w:tcPr>
          <w:p w14:paraId="4B93DFAB">
            <w:pPr>
              <w:jc w:val="center"/>
              <w:rPr>
                <w:rFonts w:hint="eastAsia" w:ascii="宋体" w:hAnsi="宋体" w:cs="Arial"/>
                <w:color w:val="333333"/>
                <w:kern w:val="0"/>
              </w:rPr>
            </w:pPr>
            <w:r>
              <w:rPr>
                <w:rFonts w:hint="eastAsia" w:ascii="宋体" w:hAnsi="宋体" w:cs="Arial"/>
                <w:color w:val="333333"/>
                <w:kern w:val="0"/>
              </w:rPr>
              <w:t>不允许</w:t>
            </w:r>
          </w:p>
        </w:tc>
      </w:tr>
      <w:tr w14:paraId="7E05D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7" w:type="dxa"/>
            <w:vAlign w:val="center"/>
          </w:tcPr>
          <w:p w14:paraId="12A5121E">
            <w:pPr>
              <w:jc w:val="center"/>
              <w:rPr>
                <w:rFonts w:hint="eastAsia" w:ascii="宋体" w:hAnsi="宋体" w:cs="Arial"/>
                <w:color w:val="333333"/>
                <w:kern w:val="0"/>
              </w:rPr>
            </w:pPr>
            <w:r>
              <w:rPr>
                <w:rFonts w:hint="eastAsia" w:ascii="宋体" w:hAnsi="宋体" w:cs="Arial"/>
                <w:color w:val="333333"/>
                <w:kern w:val="0"/>
              </w:rPr>
              <w:t>Ⅱ</w:t>
            </w:r>
          </w:p>
        </w:tc>
        <w:tc>
          <w:tcPr>
            <w:tcW w:w="3854" w:type="dxa"/>
            <w:vAlign w:val="center"/>
          </w:tcPr>
          <w:p w14:paraId="61B4D27B">
            <w:pPr>
              <w:jc w:val="center"/>
              <w:rPr>
                <w:rFonts w:hint="eastAsia" w:ascii="宋体" w:hAnsi="宋体" w:cs="Arial"/>
                <w:color w:val="333333"/>
                <w:kern w:val="0"/>
              </w:rPr>
            </w:pPr>
            <w:r>
              <w:rPr>
                <w:rFonts w:ascii="宋体" w:hAnsi="宋体" w:cs="Arial"/>
                <w:color w:val="333333"/>
                <w:kern w:val="0"/>
              </w:rPr>
              <w:t>≤</w:t>
            </w:r>
            <w:r>
              <w:rPr>
                <w:rFonts w:hint="eastAsia" w:ascii="宋体" w:hAnsi="宋体" w:cs="Arial"/>
                <w:color w:val="333333"/>
                <w:kern w:val="0"/>
              </w:rPr>
              <w:t>T/3（最小可为4）且</w:t>
            </w:r>
            <w:r>
              <w:rPr>
                <w:rFonts w:ascii="宋体" w:hAnsi="宋体" w:cs="Arial"/>
                <w:color w:val="333333"/>
                <w:kern w:val="0"/>
              </w:rPr>
              <w:t>≤</w:t>
            </w:r>
            <w:r>
              <w:rPr>
                <w:rFonts w:hint="eastAsia" w:ascii="宋体" w:hAnsi="宋体" w:cs="Arial"/>
                <w:color w:val="333333"/>
                <w:kern w:val="0"/>
              </w:rPr>
              <w:t>20</w:t>
            </w:r>
          </w:p>
        </w:tc>
        <w:tc>
          <w:tcPr>
            <w:tcW w:w="3857" w:type="dxa"/>
            <w:vAlign w:val="center"/>
          </w:tcPr>
          <w:p w14:paraId="70FB9165">
            <w:pPr>
              <w:jc w:val="center"/>
              <w:rPr>
                <w:rFonts w:hint="eastAsia" w:ascii="宋体" w:hAnsi="宋体" w:cs="Arial"/>
                <w:color w:val="333333"/>
                <w:kern w:val="0"/>
              </w:rPr>
            </w:pPr>
            <w:r>
              <w:rPr>
                <w:rFonts w:hint="eastAsia" w:ascii="宋体" w:hAnsi="宋体" w:cs="Arial"/>
                <w:color w:val="333333"/>
                <w:kern w:val="0"/>
              </w:rPr>
              <w:t>在长度为12T的任意选定条形缺陷评定区内，相邻缺陷间距不超过6L的一组条形缺陷的累计长度应不超过T，但最小可为4</w:t>
            </w:r>
          </w:p>
        </w:tc>
      </w:tr>
      <w:tr w14:paraId="0685D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7" w:type="dxa"/>
            <w:vAlign w:val="center"/>
          </w:tcPr>
          <w:p w14:paraId="406151CD">
            <w:pPr>
              <w:jc w:val="center"/>
              <w:rPr>
                <w:rFonts w:hint="eastAsia" w:ascii="宋体" w:hAnsi="宋体" w:cs="Arial"/>
                <w:color w:val="333333"/>
                <w:kern w:val="0"/>
              </w:rPr>
            </w:pPr>
            <w:r>
              <w:rPr>
                <w:rFonts w:hint="eastAsia" w:ascii="宋体" w:hAnsi="宋体" w:cs="Arial"/>
                <w:color w:val="333333"/>
                <w:kern w:val="0"/>
              </w:rPr>
              <w:t>Ⅲ</w:t>
            </w:r>
          </w:p>
        </w:tc>
        <w:tc>
          <w:tcPr>
            <w:tcW w:w="3854" w:type="dxa"/>
            <w:vAlign w:val="center"/>
          </w:tcPr>
          <w:p w14:paraId="708BF51E">
            <w:pPr>
              <w:jc w:val="center"/>
              <w:rPr>
                <w:rFonts w:hint="eastAsia" w:ascii="宋体" w:hAnsi="宋体" w:cs="Arial"/>
                <w:color w:val="333333"/>
                <w:kern w:val="0"/>
              </w:rPr>
            </w:pPr>
            <w:r>
              <w:rPr>
                <w:rFonts w:ascii="宋体" w:hAnsi="宋体" w:cs="Arial"/>
                <w:color w:val="333333"/>
                <w:kern w:val="0"/>
              </w:rPr>
              <w:t>≤</w:t>
            </w:r>
            <w:r>
              <w:rPr>
                <w:rFonts w:hint="eastAsia" w:ascii="宋体" w:hAnsi="宋体" w:cs="Arial"/>
                <w:color w:val="333333"/>
                <w:kern w:val="0"/>
              </w:rPr>
              <w:t>2T/3（最小可为6）且</w:t>
            </w:r>
            <w:r>
              <w:rPr>
                <w:rFonts w:ascii="宋体" w:hAnsi="宋体" w:cs="Arial"/>
                <w:color w:val="333333"/>
                <w:kern w:val="0"/>
              </w:rPr>
              <w:t>≤</w:t>
            </w:r>
            <w:r>
              <w:rPr>
                <w:rFonts w:hint="eastAsia" w:ascii="宋体" w:hAnsi="宋体" w:cs="Arial"/>
                <w:color w:val="333333"/>
                <w:kern w:val="0"/>
              </w:rPr>
              <w:t>30</w:t>
            </w:r>
          </w:p>
        </w:tc>
        <w:tc>
          <w:tcPr>
            <w:tcW w:w="3857" w:type="dxa"/>
            <w:vAlign w:val="center"/>
          </w:tcPr>
          <w:p w14:paraId="44478353">
            <w:pPr>
              <w:jc w:val="center"/>
              <w:rPr>
                <w:rFonts w:hint="eastAsia" w:ascii="宋体" w:hAnsi="宋体" w:cs="Arial"/>
                <w:color w:val="333333"/>
                <w:kern w:val="0"/>
              </w:rPr>
            </w:pPr>
            <w:r>
              <w:rPr>
                <w:rFonts w:hint="eastAsia" w:ascii="宋体" w:hAnsi="宋体" w:cs="Arial"/>
                <w:color w:val="333333"/>
                <w:kern w:val="0"/>
              </w:rPr>
              <w:t>在长度为6T的任意选定条形缺陷评定区内，相邻缺陷间距不超过3L的一组条形缺陷的累计长度应不超过T，但最小可为6</w:t>
            </w:r>
          </w:p>
        </w:tc>
      </w:tr>
      <w:tr w14:paraId="471B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7" w:type="dxa"/>
            <w:vAlign w:val="center"/>
          </w:tcPr>
          <w:p w14:paraId="56CADC54">
            <w:pPr>
              <w:jc w:val="center"/>
              <w:rPr>
                <w:rFonts w:hint="eastAsia" w:ascii="宋体" w:hAnsi="宋体" w:cs="Arial"/>
                <w:color w:val="333333"/>
                <w:kern w:val="0"/>
              </w:rPr>
            </w:pPr>
            <w:r>
              <w:rPr>
                <w:rFonts w:hint="eastAsia" w:ascii="宋体" w:hAnsi="宋体" w:cs="Arial"/>
                <w:color w:val="333333"/>
                <w:kern w:val="0"/>
              </w:rPr>
              <w:t>Ⅳ</w:t>
            </w:r>
          </w:p>
        </w:tc>
        <w:tc>
          <w:tcPr>
            <w:tcW w:w="7711" w:type="dxa"/>
            <w:gridSpan w:val="2"/>
            <w:vAlign w:val="center"/>
          </w:tcPr>
          <w:p w14:paraId="3F73589C">
            <w:pPr>
              <w:jc w:val="center"/>
              <w:rPr>
                <w:rFonts w:hint="eastAsia" w:ascii="宋体" w:hAnsi="宋体" w:cs="Arial"/>
                <w:color w:val="333333"/>
                <w:kern w:val="0"/>
              </w:rPr>
            </w:pPr>
            <w:r>
              <w:rPr>
                <w:rFonts w:hint="eastAsia" w:ascii="宋体" w:hAnsi="宋体" w:cs="Arial"/>
                <w:color w:val="333333"/>
                <w:kern w:val="0"/>
              </w:rPr>
              <w:t>大于Ⅲ级</w:t>
            </w:r>
          </w:p>
        </w:tc>
      </w:tr>
    </w:tbl>
    <w:p w14:paraId="77BB90C9">
      <w:pPr>
        <w:widowControl/>
        <w:adjustRightInd/>
        <w:spacing w:line="240" w:lineRule="auto"/>
        <w:rPr>
          <w:rFonts w:ascii="宋体" w:hAnsi="Times New Roman"/>
          <w:kern w:val="0"/>
          <w:szCs w:val="20"/>
        </w:rPr>
      </w:pPr>
    </w:p>
    <w:p w14:paraId="71AE773D">
      <w:pPr>
        <w:pStyle w:val="78"/>
        <w:spacing w:before="156" w:after="156"/>
      </w:pPr>
      <w:bookmarkStart w:id="196" w:name="_Toc127956160"/>
      <w:r>
        <w:rPr>
          <w:rFonts w:hint="eastAsia"/>
        </w:rPr>
        <w:t>图像保存于存储</w:t>
      </w:r>
      <w:bookmarkEnd w:id="196"/>
    </w:p>
    <w:p w14:paraId="4D2141B1">
      <w:pPr>
        <w:pStyle w:val="212"/>
        <w:ind w:left="0"/>
      </w:pPr>
      <w:r>
        <w:rPr>
          <w:rFonts w:hint="eastAsia"/>
        </w:rPr>
        <w:t>图像保存</w:t>
      </w:r>
    </w:p>
    <w:p w14:paraId="0FE1F7C0">
      <w:pPr>
        <w:pStyle w:val="213"/>
        <w:ind w:left="0"/>
      </w:pPr>
      <w:r>
        <w:rPr>
          <w:rFonts w:hint="eastAsia"/>
        </w:rPr>
        <w:t>图像应存储在硬盘等数字存储介质中，并在只读光盘中存档。</w:t>
      </w:r>
    </w:p>
    <w:p w14:paraId="6AEA290F">
      <w:pPr>
        <w:pStyle w:val="213"/>
        <w:ind w:left="0"/>
      </w:pPr>
      <w:r>
        <w:rPr>
          <w:rFonts w:hint="eastAsia"/>
        </w:rPr>
        <w:t>检测图像应备份不少于两份，相底的原始记录和检测报告也应同期保存。</w:t>
      </w:r>
    </w:p>
    <w:p w14:paraId="34361A03">
      <w:pPr>
        <w:pStyle w:val="213"/>
        <w:ind w:left="0"/>
      </w:pPr>
      <w:r>
        <w:rPr>
          <w:rFonts w:hint="eastAsia"/>
        </w:rPr>
        <w:t>图像保存不少于8年，在有效保存期内，图像数据不得丢失和更改。</w:t>
      </w:r>
    </w:p>
    <w:p w14:paraId="1A90BEC8">
      <w:pPr>
        <w:pStyle w:val="212"/>
        <w:ind w:left="0"/>
      </w:pPr>
      <w:r>
        <w:rPr>
          <w:rFonts w:hint="eastAsia"/>
        </w:rPr>
        <w:t>存储环境</w:t>
      </w:r>
    </w:p>
    <w:p w14:paraId="3DF3C26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保存检测图像的光盘或硬盘等数字存储介质应防磁、防潮、防尘、防积压、防划伤。</w:t>
      </w:r>
    </w:p>
    <w:p w14:paraId="4B7557F6">
      <w:pPr>
        <w:widowControl/>
        <w:autoSpaceDE w:val="0"/>
        <w:autoSpaceDN w:val="0"/>
        <w:adjustRightInd/>
        <w:spacing w:line="240" w:lineRule="auto"/>
        <w:ind w:firstLine="420" w:firstLineChars="200"/>
        <w:rPr>
          <w:rFonts w:ascii="宋体" w:hAnsi="Times New Roman"/>
          <w:kern w:val="0"/>
          <w:szCs w:val="20"/>
        </w:rPr>
      </w:pPr>
    </w:p>
    <w:p w14:paraId="6FBC45D7">
      <w:pPr>
        <w:pStyle w:val="78"/>
        <w:spacing w:before="156" w:after="156"/>
      </w:pPr>
      <w:bookmarkStart w:id="197" w:name="_Toc127956161"/>
      <w:r>
        <w:rPr>
          <w:rFonts w:hint="eastAsia"/>
        </w:rPr>
        <w:t>检测报告</w:t>
      </w:r>
      <w:bookmarkEnd w:id="197"/>
    </w:p>
    <w:p w14:paraId="24D0424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X射线数字成像检测报告应至少包括下列内容：</w:t>
      </w:r>
    </w:p>
    <w:p w14:paraId="648AF99A">
      <w:pPr>
        <w:pStyle w:val="174"/>
        <w:numPr>
          <w:ilvl w:val="0"/>
          <w:numId w:val="76"/>
        </w:numPr>
      </w:pPr>
      <w:r>
        <w:rPr>
          <w:rFonts w:hint="eastAsia"/>
        </w:rPr>
        <w:t>检测单位或委托单位；</w:t>
      </w:r>
    </w:p>
    <w:p w14:paraId="42966D0D">
      <w:pPr>
        <w:pStyle w:val="174"/>
      </w:pPr>
      <w:r>
        <w:rPr>
          <w:rFonts w:hint="eastAsia"/>
        </w:rPr>
        <w:t>被检工件；</w:t>
      </w:r>
    </w:p>
    <w:p w14:paraId="1FE258FA">
      <w:pPr>
        <w:pStyle w:val="174"/>
      </w:pPr>
      <w:r>
        <w:rPr>
          <w:rFonts w:hint="eastAsia"/>
        </w:rPr>
        <w:t>使用的检测工艺文件编号；</w:t>
      </w:r>
    </w:p>
    <w:p w14:paraId="497C2CB6">
      <w:pPr>
        <w:pStyle w:val="174"/>
      </w:pPr>
      <w:r>
        <w:rPr>
          <w:rFonts w:hint="eastAsia"/>
        </w:rPr>
        <w:t>检测设备：射线机有效焦点尺寸；</w:t>
      </w:r>
    </w:p>
    <w:p w14:paraId="3BCC1D4E">
      <w:pPr>
        <w:pStyle w:val="174"/>
      </w:pPr>
      <w:r>
        <w:rPr>
          <w:rFonts w:hint="eastAsia"/>
        </w:rPr>
        <w:t>检测规范：透照布置、像质计、滤波板、射线能量、曝光量或透照时间、射线机与探测器的相对关系、透照几何参数等；</w:t>
      </w:r>
    </w:p>
    <w:p w14:paraId="208D155A">
      <w:pPr>
        <w:pStyle w:val="174"/>
      </w:pPr>
      <w:r>
        <w:rPr>
          <w:rFonts w:hint="eastAsia"/>
        </w:rPr>
        <w:t>图像评定：灰度值、信噪比、图像灵敏度、图像分辨率、缺陷位置和性质。</w:t>
      </w:r>
    </w:p>
    <w:p w14:paraId="5F78D344">
      <w:pPr>
        <w:pStyle w:val="174"/>
        <w:numPr>
          <w:ilvl w:val="0"/>
          <w:numId w:val="0"/>
        </w:numPr>
      </w:pPr>
    </w:p>
    <w:p w14:paraId="394DD309">
      <w:pPr>
        <w:pStyle w:val="56"/>
        <w:ind w:firstLine="420"/>
      </w:pPr>
    </w:p>
    <w:p w14:paraId="433755F4">
      <w:pPr>
        <w:pStyle w:val="56"/>
        <w:ind w:left="0" w:leftChars="0" w:firstLine="0" w:firstLineChars="0"/>
      </w:pPr>
    </w:p>
    <w:p w14:paraId="2D009D6A">
      <w:pPr>
        <w:widowControl/>
        <w:autoSpaceDE w:val="0"/>
        <w:autoSpaceDN w:val="0"/>
        <w:adjustRightInd/>
        <w:spacing w:line="240" w:lineRule="auto"/>
        <w:rPr>
          <w:rFonts w:ascii="宋体" w:hAnsi="Times New Roman"/>
          <w:kern w:val="0"/>
          <w:szCs w:val="20"/>
        </w:rPr>
        <w:sectPr>
          <w:pgSz w:w="11906" w:h="16838"/>
          <w:pgMar w:top="1928" w:right="1134" w:bottom="1134" w:left="1134" w:header="1418" w:footer="1134" w:gutter="284"/>
          <w:cols w:space="425" w:num="1"/>
          <w:formProt w:val="0"/>
          <w:docGrid w:type="lines" w:linePitch="312" w:charSpace="0"/>
        </w:sectPr>
      </w:pPr>
    </w:p>
    <w:p w14:paraId="5AB439DE">
      <w:pPr>
        <w:pStyle w:val="198"/>
        <w:ind w:left="0"/>
        <w:rPr>
          <w:rFonts w:hint="eastAsia"/>
        </w:rPr>
      </w:pPr>
    </w:p>
    <w:p w14:paraId="4F1CD3DD">
      <w:pPr>
        <w:pStyle w:val="199"/>
        <w:ind w:left="0"/>
      </w:pPr>
    </w:p>
    <w:p w14:paraId="1FF89370">
      <w:pPr>
        <w:pStyle w:val="76"/>
        <w:spacing w:after="156"/>
      </w:pPr>
      <w:r>
        <w:br w:type="textWrapping"/>
      </w:r>
      <w:bookmarkStart w:id="198" w:name="_Toc129620131"/>
      <w:r>
        <w:rPr>
          <w:rFonts w:hint="eastAsia"/>
        </w:rPr>
        <w:t>（规范性）</w:t>
      </w:r>
      <w:r>
        <w:br w:type="textWrapping"/>
      </w:r>
      <w:r>
        <w:rPr>
          <w:rFonts w:hint="eastAsia"/>
        </w:rPr>
        <w:t>在线监测</w:t>
      </w:r>
      <w:bookmarkEnd w:id="198"/>
    </w:p>
    <w:p w14:paraId="1E3CF479">
      <w:pPr>
        <w:pStyle w:val="78"/>
        <w:spacing w:before="156" w:after="156"/>
      </w:pPr>
      <w:bookmarkStart w:id="199" w:name="_Toc128405484"/>
      <w:r>
        <w:rPr>
          <w:rFonts w:hint="eastAsia"/>
        </w:rPr>
        <w:t>范围</w:t>
      </w:r>
      <w:bookmarkEnd w:id="199"/>
    </w:p>
    <w:p w14:paraId="237B960F">
      <w:pPr>
        <w:pStyle w:val="79"/>
        <w:spacing w:before="156" w:after="156"/>
        <w:ind w:left="0"/>
      </w:pPr>
      <w:r>
        <w:rPr>
          <w:rFonts w:hint="eastAsia"/>
        </w:rPr>
        <w:t>本附录规定了基于光纤光栅应变传感器的储氢气瓶铝内胆应变在线健康监测技术、方法及相关要求。</w:t>
      </w:r>
    </w:p>
    <w:p w14:paraId="57387798">
      <w:pPr>
        <w:pStyle w:val="79"/>
        <w:spacing w:before="156" w:after="156"/>
        <w:ind w:left="0"/>
      </w:pPr>
      <w:r>
        <w:rPr>
          <w:rFonts w:hint="eastAsia"/>
        </w:rPr>
        <w:t>本附录适用于基于光纤光栅应变传感器的储氢气瓶铝内胆应变在线健康监测。</w:t>
      </w:r>
    </w:p>
    <w:p w14:paraId="2C50DA43">
      <w:pPr>
        <w:pStyle w:val="78"/>
        <w:spacing w:before="156" w:after="156"/>
      </w:pPr>
      <w:bookmarkStart w:id="200" w:name="_Toc128405487"/>
      <w:r>
        <w:rPr>
          <w:rFonts w:hint="eastAsia"/>
        </w:rPr>
        <w:t>规范性引用文件</w:t>
      </w:r>
      <w:bookmarkEnd w:id="200"/>
    </w:p>
    <w:sdt>
      <w:sdtPr>
        <w:rPr>
          <w:rFonts w:hint="eastAsia" w:ascii="宋体" w:hAnsi="Times New Roman"/>
          <w:kern w:val="0"/>
          <w:szCs w:val="20"/>
        </w:rPr>
        <w:id w:val="590200644"/>
        <w:placeholder>
          <w:docPart w:val="A694BB6C36D24FEFB986C6ED6570774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ascii="宋体" w:hAnsi="Times New Roman"/>
          <w:kern w:val="0"/>
          <w:szCs w:val="20"/>
        </w:rPr>
      </w:sdtEndPr>
      <w:sdtContent>
        <w:p w14:paraId="34D2003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07AD133">
      <w:pPr>
        <w:widowControl/>
        <w:autoSpaceDE w:val="0"/>
        <w:autoSpaceDN w:val="0"/>
        <w:adjustRightInd/>
        <w:spacing w:line="240" w:lineRule="auto"/>
        <w:ind w:firstLine="420" w:firstLineChars="200"/>
        <w:rPr>
          <w:rFonts w:ascii="宋体" w:hAnsi="Times New Roman"/>
          <w:color w:val="000000" w:themeColor="text1"/>
          <w:kern w:val="0"/>
          <w:szCs w:val="20"/>
          <w14:textFill>
            <w14:solidFill>
              <w14:schemeClr w14:val="tx1"/>
            </w14:solidFill>
          </w14:textFill>
        </w:rPr>
      </w:pPr>
      <w:r>
        <w:rPr>
          <w:rFonts w:hint="eastAsia" w:ascii="宋体" w:hAnsi="Times New Roman"/>
          <w:color w:val="000000" w:themeColor="text1"/>
          <w:kern w:val="0"/>
          <w:szCs w:val="20"/>
          <w14:textFill>
            <w14:solidFill>
              <w14:schemeClr w14:val="tx1"/>
            </w14:solidFill>
          </w14:textFill>
        </w:rPr>
        <w:t>GB/T 12357</w:t>
      </w:r>
      <w:r>
        <w:rPr>
          <w:rFonts w:hint="eastAsia" w:ascii="宋体" w:hAnsi="Times New Roman"/>
          <w:color w:val="000000" w:themeColor="text1"/>
          <w:kern w:val="0"/>
          <w:szCs w:val="20"/>
          <w:lang w:val="en-US" w:eastAsia="zh-CN"/>
          <w14:textFill>
            <w14:solidFill>
              <w14:schemeClr w14:val="tx1"/>
            </w14:solidFill>
          </w14:textFill>
        </w:rPr>
        <w:t>.1-2015</w:t>
      </w:r>
      <w:r>
        <w:rPr>
          <w:rFonts w:hint="eastAsia" w:ascii="宋体" w:hAnsi="Times New Roman"/>
          <w:color w:val="000000" w:themeColor="text1"/>
          <w:kern w:val="0"/>
          <w:szCs w:val="20"/>
          <w14:textFill>
            <w14:solidFill>
              <w14:schemeClr w14:val="tx1"/>
            </w14:solidFill>
          </w14:textFill>
        </w:rPr>
        <w:t xml:space="preserve"> 通信用多模光纤</w:t>
      </w:r>
    </w:p>
    <w:p w14:paraId="42B85CAE">
      <w:pPr>
        <w:widowControl/>
        <w:autoSpaceDE w:val="0"/>
        <w:autoSpaceDN w:val="0"/>
        <w:adjustRightInd/>
        <w:spacing w:line="240" w:lineRule="auto"/>
        <w:ind w:firstLine="420" w:firstLineChars="200"/>
        <w:rPr>
          <w:rFonts w:ascii="宋体" w:hAnsi="Times New Roman"/>
          <w:color w:val="000000" w:themeColor="text1"/>
          <w:kern w:val="0"/>
          <w:szCs w:val="20"/>
          <w14:textFill>
            <w14:solidFill>
              <w14:schemeClr w14:val="tx1"/>
            </w14:solidFill>
          </w14:textFill>
        </w:rPr>
      </w:pPr>
      <w:r>
        <w:rPr>
          <w:rFonts w:hint="eastAsia" w:ascii="宋体" w:hAnsi="Times New Roman"/>
          <w:color w:val="000000" w:themeColor="text1"/>
          <w:kern w:val="0"/>
          <w:szCs w:val="20"/>
          <w14:textFill>
            <w14:solidFill>
              <w14:schemeClr w14:val="tx1"/>
            </w14:solidFill>
          </w14:textFill>
        </w:rPr>
        <w:t>GB/T 9771</w:t>
      </w:r>
      <w:r>
        <w:rPr>
          <w:rFonts w:hint="eastAsia" w:ascii="宋体" w:hAnsi="Times New Roman"/>
          <w:color w:val="000000" w:themeColor="text1"/>
          <w:kern w:val="0"/>
          <w:szCs w:val="20"/>
          <w:lang w:val="en-US" w:eastAsia="zh-CN"/>
          <w14:textFill>
            <w14:solidFill>
              <w14:schemeClr w14:val="tx1"/>
            </w14:solidFill>
          </w14:textFill>
        </w:rPr>
        <w:t xml:space="preserve">.1-2020 </w:t>
      </w:r>
      <w:r>
        <w:rPr>
          <w:rFonts w:hint="eastAsia" w:ascii="宋体" w:hAnsi="Times New Roman"/>
          <w:color w:val="000000" w:themeColor="text1"/>
          <w:kern w:val="0"/>
          <w:szCs w:val="20"/>
          <w14:textFill>
            <w14:solidFill>
              <w14:schemeClr w14:val="tx1"/>
            </w14:solidFill>
          </w14:textFill>
        </w:rPr>
        <w:t>通信用单模光纤</w:t>
      </w:r>
    </w:p>
    <w:p w14:paraId="7D256A9B">
      <w:pPr>
        <w:widowControl/>
        <w:autoSpaceDE w:val="0"/>
        <w:autoSpaceDN w:val="0"/>
        <w:adjustRightInd/>
        <w:spacing w:line="240" w:lineRule="auto"/>
        <w:ind w:firstLine="420" w:firstLineChars="200"/>
        <w:rPr>
          <w:rFonts w:hint="eastAsia" w:ascii="宋体" w:hAnsi="Times New Roman" w:eastAsia="宋体"/>
          <w:kern w:val="0"/>
          <w:szCs w:val="20"/>
          <w:lang w:val="en-US" w:eastAsia="zh-CN"/>
        </w:rPr>
      </w:pPr>
      <w:r>
        <w:rPr>
          <w:rFonts w:hint="eastAsia" w:ascii="宋体" w:hAnsi="Times New Roman"/>
          <w:color w:val="000000" w:themeColor="text1"/>
          <w:kern w:val="0"/>
          <w:szCs w:val="20"/>
          <w14:textFill>
            <w14:solidFill>
              <w14:schemeClr w14:val="tx1"/>
            </w14:solidFill>
          </w14:textFill>
        </w:rPr>
        <w:t>GB/T13993.2</w:t>
      </w:r>
      <w:r>
        <w:rPr>
          <w:rFonts w:hint="eastAsia" w:ascii="宋体" w:hAnsi="Times New Roman"/>
          <w:color w:val="000000" w:themeColor="text1"/>
          <w:kern w:val="0"/>
          <w:szCs w:val="20"/>
          <w:lang w:val="en-US" w:eastAsia="zh-CN"/>
          <w14:textFill>
            <w14:solidFill>
              <w14:schemeClr w14:val="tx1"/>
            </w14:solidFill>
          </w14:textFill>
        </w:rPr>
        <w:t>-2014 通信光缆 第2</w:t>
      </w:r>
      <w:r>
        <w:rPr>
          <w:rFonts w:hint="eastAsia" w:ascii="宋体" w:hAnsi="Times New Roman"/>
          <w:kern w:val="0"/>
          <w:szCs w:val="20"/>
          <w:lang w:val="en-US" w:eastAsia="zh-CN"/>
        </w:rPr>
        <w:t>部分:核心网用室外光缆</w:t>
      </w:r>
    </w:p>
    <w:p w14:paraId="705DB200">
      <w:pPr>
        <w:pStyle w:val="78"/>
        <w:spacing w:before="156" w:after="156"/>
      </w:pPr>
      <w:bookmarkStart w:id="201" w:name="_Toc128405488"/>
      <w:r>
        <w:rPr>
          <w:rFonts w:hint="eastAsia"/>
        </w:rPr>
        <w:t>术语和定义</w:t>
      </w:r>
      <w:bookmarkEnd w:id="201"/>
    </w:p>
    <w:sdt>
      <w:sdtPr>
        <w:rPr>
          <w:rFonts w:ascii="宋体" w:hAnsi="Times New Roman"/>
          <w:kern w:val="0"/>
          <w:szCs w:val="20"/>
        </w:rPr>
        <w:id w:val="-23564665"/>
        <w:placeholder>
          <w:docPart w:val="91E62F32A4224D469CC4402BFD46097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宋体" w:hAnsi="Times New Roman"/>
          <w:kern w:val="0"/>
          <w:szCs w:val="20"/>
        </w:rPr>
      </w:sdtEndPr>
      <w:sdtContent>
        <w:p w14:paraId="5582A57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下列术语和定义适用于本文件。</w:t>
          </w:r>
        </w:p>
      </w:sdtContent>
    </w:sdt>
    <w:p w14:paraId="101346B7">
      <w:pPr>
        <w:pStyle w:val="79"/>
        <w:spacing w:before="156" w:after="156"/>
        <w:ind w:left="0"/>
      </w:pPr>
    </w:p>
    <w:p w14:paraId="4E8C8497">
      <w:pPr>
        <w:widowControl/>
        <w:autoSpaceDE w:val="0"/>
        <w:autoSpaceDN w:val="0"/>
        <w:adjustRightInd/>
        <w:spacing w:line="240" w:lineRule="auto"/>
        <w:ind w:firstLine="420" w:firstLineChars="200"/>
        <w:rPr>
          <w:rFonts w:ascii="宋体" w:hAnsi="Times New Roman"/>
          <w:kern w:val="0"/>
          <w:szCs w:val="20"/>
        </w:rPr>
      </w:pPr>
      <w:r>
        <w:rPr>
          <w:rFonts w:hint="eastAsia" w:ascii="黑体" w:hAnsi="黑体" w:eastAsia="黑体"/>
        </w:rPr>
        <w:t>光纤光栅解调仪 Fiber grating demodulator</w:t>
      </w:r>
    </w:p>
    <w:p w14:paraId="7FC771D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利用光纤光栅中心波长随温度、应变的变化规律,通过解调电路进行采集和解算,实现对被测物体温度、应变等物理量进行测量的设备。</w:t>
      </w:r>
    </w:p>
    <w:p w14:paraId="21672EE8">
      <w:pPr>
        <w:pStyle w:val="79"/>
        <w:spacing w:before="156" w:after="156"/>
        <w:ind w:left="0"/>
      </w:pPr>
    </w:p>
    <w:p w14:paraId="0E7F400B">
      <w:pPr>
        <w:pStyle w:val="56"/>
        <w:ind w:firstLine="420"/>
      </w:pPr>
      <w:r>
        <w:rPr>
          <w:rFonts w:hint="eastAsia" w:ascii="黑体" w:hAnsi="黑体" w:eastAsia="黑体"/>
        </w:rPr>
        <w:t>光纤光栅解调仪解调频率 Fiber grating demodulator scanning frequency</w:t>
      </w:r>
    </w:p>
    <w:p w14:paraId="42C89D9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每秒记录波长数据的点数。</w:t>
      </w:r>
    </w:p>
    <w:p w14:paraId="2552A185">
      <w:pPr>
        <w:pStyle w:val="79"/>
        <w:spacing w:before="156" w:after="156"/>
        <w:ind w:left="0"/>
      </w:pPr>
    </w:p>
    <w:p w14:paraId="6E0B21DD">
      <w:pPr>
        <w:pStyle w:val="56"/>
        <w:ind w:firstLine="420"/>
      </w:pPr>
      <w:r>
        <w:rPr>
          <w:rFonts w:hint="eastAsia" w:ascii="黑体" w:hAnsi="黑体" w:eastAsia="黑体"/>
        </w:rPr>
        <w:t>分辨率 Resolution</w:t>
      </w:r>
    </w:p>
    <w:p w14:paraId="3C1EFE1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可识别光纤光栅中心波长变化的最小单位。</w:t>
      </w:r>
    </w:p>
    <w:p w14:paraId="0C078EDB">
      <w:pPr>
        <w:pStyle w:val="79"/>
        <w:spacing w:before="156" w:after="156"/>
        <w:ind w:left="0"/>
      </w:pPr>
    </w:p>
    <w:p w14:paraId="190025C0">
      <w:pPr>
        <w:pStyle w:val="56"/>
        <w:ind w:firstLine="420"/>
      </w:pPr>
      <w:r>
        <w:rPr>
          <w:rFonts w:hint="eastAsia" w:ascii="黑体" w:hAnsi="黑体" w:eastAsia="黑体"/>
        </w:rPr>
        <w:t>通道数 Number of channels</w:t>
      </w:r>
    </w:p>
    <w:p w14:paraId="35B5077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光纤光栅解调仪上支持传感器连接的最大接口数量。</w:t>
      </w:r>
    </w:p>
    <w:p w14:paraId="5DECB3FE">
      <w:pPr>
        <w:pStyle w:val="79"/>
        <w:spacing w:before="156" w:after="156"/>
        <w:ind w:left="0"/>
      </w:pPr>
    </w:p>
    <w:p w14:paraId="3987D6B3">
      <w:pPr>
        <w:pStyle w:val="56"/>
        <w:ind w:firstLine="420"/>
      </w:pPr>
      <w:r>
        <w:rPr>
          <w:rFonts w:hint="eastAsia" w:ascii="黑体" w:hAnsi="黑体" w:eastAsia="黑体"/>
        </w:rPr>
        <w:t>时分复用 time division multiplexing</w:t>
      </w:r>
      <w:r>
        <w:rPr>
          <w:rFonts w:hint="eastAsia"/>
        </w:rPr>
        <w:t xml:space="preserve"> </w:t>
      </w:r>
    </w:p>
    <w:p w14:paraId="0165661C">
      <w:pPr>
        <w:pStyle w:val="56"/>
        <w:ind w:firstLine="420"/>
      </w:pPr>
      <w:r>
        <w:rPr>
          <w:rFonts w:hint="eastAsia"/>
        </w:rPr>
        <w:t>通过在不同时间间隔内将多个信号进行交错传输，从而实现在单根光纤上同时传输多个独立的信道的多路复用技术。</w:t>
      </w:r>
    </w:p>
    <w:p w14:paraId="1AAE4CBA">
      <w:pPr>
        <w:pStyle w:val="79"/>
        <w:spacing w:before="156" w:after="156"/>
        <w:ind w:left="0"/>
      </w:pPr>
    </w:p>
    <w:p w14:paraId="455317F3">
      <w:pPr>
        <w:pStyle w:val="56"/>
        <w:ind w:firstLine="420"/>
      </w:pPr>
      <w:r>
        <w:rPr>
          <w:rFonts w:hint="eastAsia" w:ascii="黑体" w:hAnsi="黑体" w:eastAsia="黑体"/>
        </w:rPr>
        <w:t>中心波长 bragg wavelength</w:t>
      </w:r>
    </w:p>
    <w:p w14:paraId="4748A58A">
      <w:pPr>
        <w:pStyle w:val="56"/>
        <w:ind w:firstLine="420"/>
      </w:pPr>
      <w:r>
        <w:rPr>
          <w:rFonts w:hint="eastAsia"/>
        </w:rPr>
        <w:t>FBG反射光谱中对应反射峰值的波长。</w:t>
      </w:r>
    </w:p>
    <w:p w14:paraId="24DE843F">
      <w:pPr>
        <w:pStyle w:val="79"/>
        <w:spacing w:before="156" w:after="156"/>
        <w:ind w:left="0"/>
      </w:pPr>
    </w:p>
    <w:p w14:paraId="1B78A19A">
      <w:pPr>
        <w:pStyle w:val="56"/>
        <w:ind w:firstLine="420"/>
        <w:rPr>
          <w:rFonts w:hint="eastAsia" w:ascii="黑体" w:hAnsi="黑体" w:eastAsia="黑体"/>
        </w:rPr>
      </w:pPr>
      <w:r>
        <w:rPr>
          <w:rFonts w:hint="eastAsia" w:ascii="黑体" w:hAnsi="黑体" w:eastAsia="黑体"/>
        </w:rPr>
        <w:t>栅区长度 grid length</w:t>
      </w:r>
    </w:p>
    <w:p w14:paraId="4C4524B7">
      <w:pPr>
        <w:pStyle w:val="56"/>
        <w:ind w:firstLine="420"/>
      </w:pPr>
      <w:r>
        <w:rPr>
          <w:rFonts w:hint="eastAsia"/>
        </w:rPr>
        <w:t>FBG刻写光栅的区域长度。</w:t>
      </w:r>
    </w:p>
    <w:p w14:paraId="7CEB924D">
      <w:pPr>
        <w:pStyle w:val="78"/>
        <w:spacing w:before="156" w:after="156"/>
      </w:pPr>
      <w:bookmarkStart w:id="202" w:name="_Toc128405489"/>
      <w:r>
        <w:rPr>
          <w:rFonts w:hint="eastAsia"/>
        </w:rPr>
        <w:t>一般要求</w:t>
      </w:r>
      <w:bookmarkEnd w:id="202"/>
    </w:p>
    <w:p w14:paraId="745897C5">
      <w:pPr>
        <w:pStyle w:val="79"/>
        <w:spacing w:before="156" w:after="156"/>
        <w:ind w:left="0"/>
      </w:pPr>
      <w:bookmarkStart w:id="203" w:name="_Toc128405490"/>
      <w:r>
        <w:rPr>
          <w:rFonts w:hint="eastAsia"/>
        </w:rPr>
        <w:t>人员要求</w:t>
      </w:r>
      <w:bookmarkEnd w:id="203"/>
    </w:p>
    <w:p w14:paraId="05C34DE4">
      <w:pPr>
        <w:pStyle w:val="213"/>
        <w:ind w:left="0"/>
      </w:pPr>
      <w:r>
        <w:rPr>
          <w:rFonts w:hint="eastAsia"/>
        </w:rPr>
        <w:t>监测人员应具有一定的光纤材料、光路设备安装、光信号解调等方面的基本知识，应熟悉Ⅲ型储氢气瓶的材质结构、几何尺寸及应变性能等，对监测中出现的问题能作出分析、判断和处理。</w:t>
      </w:r>
    </w:p>
    <w:p w14:paraId="0524AFEF">
      <w:pPr>
        <w:pStyle w:val="213"/>
        <w:ind w:left="0"/>
      </w:pPr>
      <w:r>
        <w:rPr>
          <w:rFonts w:hint="eastAsia"/>
        </w:rPr>
        <w:t>监测人员应参加岗位专项培训，培训合格后，持培训合格证上岗。培训内容包括但不限于：</w:t>
      </w:r>
    </w:p>
    <w:p w14:paraId="18AC94D6">
      <w:pPr>
        <w:pStyle w:val="174"/>
        <w:numPr>
          <w:ilvl w:val="0"/>
          <w:numId w:val="77"/>
        </w:numPr>
      </w:pPr>
      <w:r>
        <w:rPr>
          <w:rFonts w:hint="eastAsia"/>
        </w:rPr>
        <w:t>光纤光栅应变监测系统的操作、监测软件的使用和硬件的日常维护；</w:t>
      </w:r>
    </w:p>
    <w:p w14:paraId="3C90ACF4">
      <w:pPr>
        <w:pStyle w:val="174"/>
      </w:pPr>
      <w:r>
        <w:rPr>
          <w:rFonts w:hint="eastAsia"/>
        </w:rPr>
        <w:t>储氢气瓶安全运行防控知识、应急管理知识；</w:t>
      </w:r>
    </w:p>
    <w:p w14:paraId="76EB8D11">
      <w:pPr>
        <w:pStyle w:val="174"/>
      </w:pPr>
      <w:r>
        <w:rPr>
          <w:rFonts w:hint="eastAsia"/>
        </w:rPr>
        <w:t>储氢气瓶工作状态、服役情况、潜在风险识别分析、安全评价知识。</w:t>
      </w:r>
    </w:p>
    <w:p w14:paraId="308FD7E8">
      <w:pPr>
        <w:pStyle w:val="79"/>
        <w:spacing w:before="156" w:after="156"/>
        <w:ind w:left="0"/>
      </w:pPr>
      <w:bookmarkStart w:id="204" w:name="_Toc128405491"/>
      <w:r>
        <w:rPr>
          <w:rFonts w:hint="eastAsia"/>
        </w:rPr>
        <w:t>监测系统及器材</w:t>
      </w:r>
      <w:bookmarkEnd w:id="204"/>
    </w:p>
    <w:p w14:paraId="195A9BFA">
      <w:pPr>
        <w:pStyle w:val="213"/>
        <w:ind w:left="0"/>
      </w:pPr>
      <w:r>
        <w:rPr>
          <w:rFonts w:hint="eastAsia"/>
        </w:rPr>
        <w:t>监测系统包括光纤光栅解调仪、光纤光栅应变传感器、光纤跳线和监测软件等部分。各组成部分的性能指标和长期稳定性应经过有资质的第三方认证，并随附出厂测试合格证书。</w:t>
      </w:r>
    </w:p>
    <w:p w14:paraId="441E7E3E">
      <w:pPr>
        <w:pStyle w:val="81"/>
        <w:spacing w:before="156" w:after="156"/>
        <w:ind w:left="0"/>
      </w:pPr>
      <w:r>
        <w:rPr>
          <w:rFonts w:hint="eastAsia"/>
        </w:rPr>
        <w:t>光纤光栅解调仪</w:t>
      </w:r>
    </w:p>
    <w:p w14:paraId="60DDE1B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光纤光栅中心波长采用光纤光栅解调仪测定，光纤光栅解调仪的型号和规格应满足GB/T39347的规定。光纤光栅解调仪的性能指标应满足：</w:t>
      </w:r>
    </w:p>
    <w:p w14:paraId="3B2A3255">
      <w:pPr>
        <w:pStyle w:val="174"/>
        <w:numPr>
          <w:ilvl w:val="0"/>
          <w:numId w:val="78"/>
        </w:numPr>
      </w:pPr>
      <w:r>
        <w:rPr>
          <w:rFonts w:hint="eastAsia"/>
        </w:rPr>
        <w:t>解调频率应不小于1kHz;</w:t>
      </w:r>
    </w:p>
    <w:p w14:paraId="5CD9A777">
      <w:pPr>
        <w:pStyle w:val="174"/>
      </w:pPr>
      <w:r>
        <w:rPr>
          <w:rFonts w:hint="eastAsia"/>
        </w:rPr>
        <w:t>应配备成套的检测软件，可实时查看光谱及中心波长;</w:t>
      </w:r>
    </w:p>
    <w:p w14:paraId="24FA701A">
      <w:pPr>
        <w:pStyle w:val="174"/>
      </w:pPr>
      <w:r>
        <w:rPr>
          <w:rFonts w:hint="eastAsia"/>
        </w:rPr>
        <w:t>通道数应不小于4个通道;</w:t>
      </w:r>
    </w:p>
    <w:p w14:paraId="36AB5031">
      <w:pPr>
        <w:pStyle w:val="174"/>
      </w:pPr>
      <w:r>
        <w:rPr>
          <w:rFonts w:hint="eastAsia"/>
        </w:rPr>
        <w:t>分辨率不小于1pm;</w:t>
      </w:r>
    </w:p>
    <w:p w14:paraId="65302ADC">
      <w:pPr>
        <w:pStyle w:val="174"/>
      </w:pPr>
      <w:r>
        <w:rPr>
          <w:rFonts w:hint="eastAsia"/>
        </w:rPr>
        <w:t>可重复性不小于2pm；</w:t>
      </w:r>
    </w:p>
    <w:p w14:paraId="03E92992">
      <w:pPr>
        <w:pStyle w:val="174"/>
      </w:pPr>
      <w:r>
        <w:rPr>
          <w:rFonts w:hint="eastAsia"/>
        </w:rPr>
        <w:t>应配备标准以太网接口，数据传输遵循TCP/IP协议。</w:t>
      </w:r>
    </w:p>
    <w:p w14:paraId="131B377A">
      <w:pPr>
        <w:pStyle w:val="81"/>
        <w:spacing w:before="156" w:after="156"/>
        <w:ind w:left="0"/>
      </w:pPr>
      <w:r>
        <w:rPr>
          <w:rFonts w:hint="eastAsia"/>
        </w:rPr>
        <w:t>光纤跳线</w:t>
      </w:r>
    </w:p>
    <w:p w14:paraId="111AF04C">
      <w:pPr>
        <w:pStyle w:val="56"/>
        <w:ind w:firstLine="420"/>
      </w:pPr>
      <w:r>
        <w:rPr>
          <w:rFonts w:hint="eastAsia"/>
        </w:rPr>
        <w:t>与光纤光栅应变传感器相连接的光纤跳线的型号和规格应满足</w:t>
      </w:r>
      <w:r>
        <w:rPr>
          <w:rFonts w:hint="eastAsia"/>
          <w:highlight w:val="yellow"/>
        </w:rPr>
        <w:t>GB/T13993.2</w:t>
      </w:r>
      <w:r>
        <w:rPr>
          <w:rFonts w:hint="eastAsia"/>
        </w:rPr>
        <w:t>的规定。传输所用的多模光纤应符合</w:t>
      </w:r>
      <w:r>
        <w:rPr>
          <w:rFonts w:hint="eastAsia"/>
          <w:highlight w:val="yellow"/>
        </w:rPr>
        <w:t>GB/T12357</w:t>
      </w:r>
      <w:r>
        <w:rPr>
          <w:rFonts w:hint="eastAsia"/>
        </w:rPr>
        <w:t>的相关技术规定，单模光纤应符合</w:t>
      </w:r>
      <w:r>
        <w:rPr>
          <w:rFonts w:hint="eastAsia"/>
          <w:highlight w:val="yellow"/>
        </w:rPr>
        <w:t>GB/T9771</w:t>
      </w:r>
      <w:r>
        <w:rPr>
          <w:rFonts w:hint="eastAsia"/>
        </w:rPr>
        <w:t>的相关技术规定。光纤跳线应采用合适的阻水、阻燃材料填充，阻水、阻燃材料不应影响光纤的测量、传输功能及使用寿命。</w:t>
      </w:r>
    </w:p>
    <w:p w14:paraId="22EC6BE1">
      <w:pPr>
        <w:pStyle w:val="81"/>
        <w:spacing w:before="156" w:after="156"/>
        <w:ind w:left="0"/>
      </w:pPr>
      <w:r>
        <w:rPr>
          <w:rFonts w:hint="eastAsia"/>
        </w:rPr>
        <w:t>监测软件</w:t>
      </w:r>
    </w:p>
    <w:p w14:paraId="62F3662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监测软件应与光纤光栅解调仪配套，监测软件应满足下列要求：</w:t>
      </w:r>
    </w:p>
    <w:p w14:paraId="2EA3216A">
      <w:pPr>
        <w:pStyle w:val="174"/>
        <w:numPr>
          <w:ilvl w:val="0"/>
          <w:numId w:val="79"/>
        </w:numPr>
        <w:rPr>
          <w:kern w:val="2"/>
          <w:szCs w:val="21"/>
        </w:rPr>
      </w:pPr>
      <w:r>
        <w:rPr>
          <w:rFonts w:hint="eastAsia"/>
        </w:rPr>
        <w:t>监测软件应包含光谱以及波长显示功能；</w:t>
      </w:r>
    </w:p>
    <w:p w14:paraId="4345B646">
      <w:pPr>
        <w:pStyle w:val="174"/>
      </w:pPr>
      <w:r>
        <w:rPr>
          <w:rFonts w:hint="eastAsia"/>
        </w:rPr>
        <w:t>能够存储波长数据；</w:t>
      </w:r>
    </w:p>
    <w:p w14:paraId="646E824E">
      <w:pPr>
        <w:pStyle w:val="174"/>
      </w:pPr>
      <w:r>
        <w:rPr>
          <w:rFonts w:hint="eastAsia"/>
        </w:rPr>
        <w:t>监测软件能自由切换解调仪通道，实现查看各通道波长数据的功能。</w:t>
      </w:r>
    </w:p>
    <w:p w14:paraId="7E89D33B">
      <w:pPr>
        <w:pStyle w:val="81"/>
        <w:spacing w:before="156" w:after="156"/>
        <w:ind w:left="0"/>
      </w:pPr>
      <w:r>
        <w:rPr>
          <w:rFonts w:hint="eastAsia"/>
        </w:rPr>
        <w:t>储氢气瓶样品</w:t>
      </w:r>
    </w:p>
    <w:p w14:paraId="08798A0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用于监测的储氢气瓶应为GB/T35544-2017所规定的A类铝内胆复合材料全缠绕储氢气瓶。氢气瓶监测面应经目视检测并合格。监测面上存在的浮锈、鳞皮或部分脱离的涂膜应进行清除，监测面的不规则状态不得干扰或影响传感器贴装，否则应对监测面作适当修整。</w:t>
      </w:r>
    </w:p>
    <w:p w14:paraId="39B0F14E">
      <w:pPr>
        <w:pStyle w:val="79"/>
        <w:spacing w:before="156" w:after="156"/>
        <w:ind w:left="0"/>
      </w:pPr>
      <w:bookmarkStart w:id="205" w:name="_Toc128405492"/>
      <w:r>
        <w:rPr>
          <w:rFonts w:hint="eastAsia"/>
        </w:rPr>
        <w:t>监测前的准备</w:t>
      </w:r>
      <w:bookmarkEnd w:id="205"/>
    </w:p>
    <w:p w14:paraId="5426111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在进行储氢气瓶的监测前，需要通过资料审查和现场实地考察获取一些基本信息，至少应包括如下的要素：</w:t>
      </w:r>
    </w:p>
    <w:p w14:paraId="536B157E">
      <w:pPr>
        <w:pStyle w:val="174"/>
        <w:numPr>
          <w:ilvl w:val="0"/>
          <w:numId w:val="80"/>
        </w:numPr>
      </w:pPr>
      <w:r>
        <w:rPr>
          <w:rFonts w:hint="eastAsia"/>
        </w:rPr>
        <w:t>监测人员的资格；</w:t>
      </w:r>
    </w:p>
    <w:p w14:paraId="4E247710">
      <w:pPr>
        <w:pStyle w:val="174"/>
      </w:pPr>
      <w:r>
        <w:rPr>
          <w:rFonts w:hint="eastAsia"/>
        </w:rPr>
        <w:t>监测计划；</w:t>
      </w:r>
    </w:p>
    <w:p w14:paraId="67F8770E">
      <w:pPr>
        <w:pStyle w:val="174"/>
      </w:pPr>
      <w:r>
        <w:rPr>
          <w:rFonts w:hint="eastAsia"/>
        </w:rPr>
        <w:t>监测仪器设备；</w:t>
      </w:r>
    </w:p>
    <w:p w14:paraId="41FC308C">
      <w:pPr>
        <w:pStyle w:val="174"/>
      </w:pPr>
      <w:r>
        <w:rPr>
          <w:rFonts w:hint="eastAsia"/>
        </w:rPr>
        <w:t>信号记录；</w:t>
      </w:r>
    </w:p>
    <w:p w14:paraId="02DF4A3F">
      <w:pPr>
        <w:pStyle w:val="174"/>
      </w:pPr>
      <w:r>
        <w:rPr>
          <w:rFonts w:hint="eastAsia"/>
        </w:rPr>
        <w:t>记录表格和报告样式；</w:t>
      </w:r>
    </w:p>
    <w:p w14:paraId="4B300F21">
      <w:pPr>
        <w:pStyle w:val="174"/>
      </w:pPr>
      <w:r>
        <w:rPr>
          <w:rFonts w:hint="eastAsia"/>
        </w:rPr>
        <w:t>需要监测的位置和范围；</w:t>
      </w:r>
    </w:p>
    <w:p w14:paraId="0DC14055">
      <w:pPr>
        <w:pStyle w:val="174"/>
      </w:pPr>
      <w:r>
        <w:rPr>
          <w:rFonts w:hint="eastAsia"/>
        </w:rPr>
        <w:t>储氢气瓶的初始结构状态；</w:t>
      </w:r>
    </w:p>
    <w:p w14:paraId="49CDB11B">
      <w:pPr>
        <w:pStyle w:val="174"/>
      </w:pPr>
      <w:r>
        <w:rPr>
          <w:rFonts w:hint="eastAsia"/>
        </w:rPr>
        <w:t>监测环境。</w:t>
      </w:r>
    </w:p>
    <w:p w14:paraId="7310236F">
      <w:pPr>
        <w:pStyle w:val="78"/>
        <w:spacing w:before="156" w:after="156"/>
      </w:pPr>
      <w:bookmarkStart w:id="206" w:name="_Toc128405493"/>
      <w:r>
        <w:rPr>
          <w:rFonts w:hint="eastAsia"/>
        </w:rPr>
        <w:t>监测方法</w:t>
      </w:r>
      <w:bookmarkEnd w:id="206"/>
    </w:p>
    <w:p w14:paraId="4D2C563B">
      <w:pPr>
        <w:pStyle w:val="79"/>
        <w:spacing w:before="156" w:after="156"/>
        <w:ind w:left="0"/>
      </w:pPr>
      <w:r>
        <w:rPr>
          <w:rFonts w:hint="eastAsia"/>
        </w:rPr>
        <w:t>光纤光栅应变传感器</w:t>
      </w:r>
    </w:p>
    <w:p w14:paraId="0BB2A36E">
      <w:pPr>
        <w:pStyle w:val="213"/>
        <w:ind w:left="0"/>
      </w:pPr>
      <w:r>
        <w:rPr>
          <w:rFonts w:hint="eastAsia"/>
        </w:rPr>
        <w:t>光纤光栅应变传感器是一种针对单元点进行结构局部应变测量的点式光纤应变传感器。应在设计时针对光栅栅区长度、胶体材料等参数开展光纤光栅应变传递率分析。光纤光栅的主要性能应符合GB/T39347的有关规定，且传感器应得到有资质的第三方测试认证，具有测试证书，其测试证书内容至少应包括：中心波长、带宽、反射率、栅区长度等。</w:t>
      </w:r>
    </w:p>
    <w:p w14:paraId="567030C4">
      <w:pPr>
        <w:pStyle w:val="213"/>
        <w:ind w:left="0"/>
      </w:pPr>
      <w:r>
        <w:rPr>
          <w:rFonts w:hint="eastAsia"/>
        </w:rPr>
        <w:t>光纤光栅具有交叉敏感特性，温度变化和应变都会导致中心波长发生偏移，如</w:t>
      </w:r>
      <w:r>
        <w:rPr>
          <w:rFonts w:hint="eastAsia"/>
          <w:highlight w:val="yellow"/>
        </w:rPr>
        <w:t>图G.1</w:t>
      </w:r>
      <w:r>
        <w:rPr>
          <w:rFonts w:hint="eastAsia"/>
        </w:rPr>
        <w:t>所示，可采用参考光纤光栅法对其进行温度补偿，参考光纤光栅应安装在应变传感器监测点的附近位置，保证与应变传感器严格处于同一温度场中，并且确保不受力。以减小或消除温度变化造成的误差，保证测量精度。</w:t>
      </w:r>
    </w:p>
    <w:p w14:paraId="40315CBF">
      <w:pPr>
        <w:pStyle w:val="213"/>
        <w:numPr>
          <w:ilvl w:val="0"/>
          <w:numId w:val="0"/>
        </w:numPr>
        <w:jc w:val="center"/>
      </w:pPr>
      <w:r>
        <w:drawing>
          <wp:inline distT="0" distB="0" distL="0" distR="0">
            <wp:extent cx="2514600" cy="1213485"/>
            <wp:effectExtent l="0" t="0" r="0" b="5715"/>
            <wp:docPr id="1637276862"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76862" name="图片 1" descr="手机屏幕的截图&#10;&#10;描述已自动生成"/>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514600" cy="1213485"/>
                    </a:xfrm>
                    <a:prstGeom prst="rect">
                      <a:avLst/>
                    </a:prstGeom>
                    <a:noFill/>
                    <a:ln>
                      <a:noFill/>
                    </a:ln>
                  </pic:spPr>
                </pic:pic>
              </a:graphicData>
            </a:graphic>
          </wp:inline>
        </w:drawing>
      </w:r>
    </w:p>
    <w:p w14:paraId="2AA6D22B">
      <w:pPr>
        <w:pStyle w:val="83"/>
        <w:spacing w:before="156" w:after="156"/>
      </w:pPr>
      <w:r>
        <w:rPr>
          <w:rFonts w:hint="eastAsia"/>
        </w:rPr>
        <w:t>参考光纤光栅示意图</w:t>
      </w:r>
    </w:p>
    <w:p w14:paraId="5E5C085E">
      <w:pPr>
        <w:pStyle w:val="213"/>
        <w:ind w:left="0"/>
      </w:pPr>
      <w:r>
        <w:rPr>
          <w:rFonts w:hint="eastAsia"/>
        </w:rPr>
        <w:t>光纤光栅应变传感器需使用聚酰亚胺涂敷层加以保护。传感器的工作温度应覆盖-40℃~60℃.</w:t>
      </w:r>
    </w:p>
    <w:p w14:paraId="48D1E517">
      <w:pPr>
        <w:pStyle w:val="79"/>
        <w:spacing w:before="156" w:after="156"/>
        <w:ind w:left="0"/>
      </w:pPr>
      <w:r>
        <w:rPr>
          <w:rFonts w:hint="eastAsia"/>
        </w:rPr>
        <w:t>传感器布设方案</w:t>
      </w:r>
    </w:p>
    <w:p w14:paraId="71EC6ED7">
      <w:pPr>
        <w:pStyle w:val="213"/>
        <w:ind w:left="0"/>
      </w:pPr>
      <w:r>
        <w:rPr>
          <w:rFonts w:hint="eastAsia"/>
        </w:rPr>
        <w:t>感器布设方案包含轴向布设方案与复合布设方案，两种方案布设示意图见</w:t>
      </w:r>
      <w:r>
        <w:rPr>
          <w:rFonts w:hint="eastAsia"/>
          <w:highlight w:val="yellow"/>
        </w:rPr>
        <w:t>图G.2、图G.</w:t>
      </w:r>
      <w:r>
        <w:rPr>
          <w:rFonts w:hint="eastAsia"/>
        </w:rPr>
        <w:t>3。</w:t>
      </w:r>
    </w:p>
    <w:p w14:paraId="055C0734">
      <w:pPr>
        <w:pStyle w:val="76"/>
        <w:numPr>
          <w:ilvl w:val="0"/>
          <w:numId w:val="0"/>
        </w:numPr>
        <w:spacing w:after="156"/>
        <w:rPr>
          <w:kern w:val="2"/>
          <w:szCs w:val="21"/>
        </w:rPr>
      </w:pPr>
      <w:r>
        <w:drawing>
          <wp:inline distT="0" distB="0" distL="0" distR="0">
            <wp:extent cx="3992880" cy="2393315"/>
            <wp:effectExtent l="0" t="0" r="7620" b="0"/>
            <wp:docPr id="60453230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532303" name="图片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006828" cy="2401532"/>
                    </a:xfrm>
                    <a:prstGeom prst="rect">
                      <a:avLst/>
                    </a:prstGeom>
                    <a:noFill/>
                    <a:ln>
                      <a:noFill/>
                    </a:ln>
                  </pic:spPr>
                </pic:pic>
              </a:graphicData>
            </a:graphic>
          </wp:inline>
        </w:drawing>
      </w:r>
    </w:p>
    <w:p w14:paraId="1282E023">
      <w:pPr>
        <w:pStyle w:val="83"/>
        <w:spacing w:before="156" w:after="156"/>
      </w:pPr>
      <w:r>
        <w:rPr>
          <w:rFonts w:hint="eastAsia"/>
        </w:rPr>
        <w:t>轴向布设方式</w:t>
      </w:r>
    </w:p>
    <w:p w14:paraId="2D8E2AFC">
      <w:pPr>
        <w:pStyle w:val="56"/>
        <w:ind w:firstLine="420"/>
      </w:pPr>
    </w:p>
    <w:p w14:paraId="762E78B2">
      <w:pPr>
        <w:pStyle w:val="56"/>
        <w:ind w:firstLine="420"/>
        <w:jc w:val="center"/>
      </w:pPr>
      <w:r>
        <w:drawing>
          <wp:inline distT="0" distB="0" distL="0" distR="0">
            <wp:extent cx="4092575" cy="2003425"/>
            <wp:effectExtent l="0" t="0" r="0" b="0"/>
            <wp:docPr id="4642151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15136" name="图片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094682" cy="2004493"/>
                    </a:xfrm>
                    <a:prstGeom prst="rect">
                      <a:avLst/>
                    </a:prstGeom>
                    <a:noFill/>
                    <a:ln>
                      <a:noFill/>
                    </a:ln>
                  </pic:spPr>
                </pic:pic>
              </a:graphicData>
            </a:graphic>
          </wp:inline>
        </w:drawing>
      </w:r>
    </w:p>
    <w:p w14:paraId="3136AB5D">
      <w:pPr>
        <w:pStyle w:val="83"/>
        <w:spacing w:before="156" w:after="156"/>
      </w:pPr>
      <w:r>
        <w:rPr>
          <w:rFonts w:hint="eastAsia"/>
        </w:rPr>
        <w:t>复合布设方式</w:t>
      </w:r>
    </w:p>
    <w:p w14:paraId="06C09F7E">
      <w:pPr>
        <w:pStyle w:val="198"/>
        <w:ind w:left="0"/>
        <w:rPr>
          <w:rFonts w:hint="eastAsia"/>
          <w:kern w:val="2"/>
          <w:sz w:val="21"/>
        </w:rPr>
      </w:pPr>
      <w:r>
        <w:drawing>
          <wp:inline distT="0" distB="0" distL="0" distR="0">
            <wp:extent cx="5279390" cy="2584450"/>
            <wp:effectExtent l="0" t="0" r="0" b="0"/>
            <wp:docPr id="8104008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00856" name="图片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9390" cy="2584450"/>
                    </a:xfrm>
                    <a:prstGeom prst="rect">
                      <a:avLst/>
                    </a:prstGeom>
                    <a:noFill/>
                    <a:ln>
                      <a:noFill/>
                    </a:ln>
                  </pic:spPr>
                </pic:pic>
              </a:graphicData>
            </a:graphic>
          </wp:inline>
        </w:drawing>
      </w:r>
    </w:p>
    <w:p w14:paraId="79729DF4">
      <w:pPr>
        <w:pStyle w:val="198"/>
        <w:ind w:left="0"/>
        <w:rPr>
          <w:rFonts w:hint="eastAsia"/>
          <w:kern w:val="2"/>
          <w:sz w:val="21"/>
        </w:rPr>
      </w:pPr>
      <w:r>
        <w:drawing>
          <wp:inline distT="0" distB="0" distL="0" distR="0">
            <wp:extent cx="5279390" cy="2584450"/>
            <wp:effectExtent l="0" t="0" r="0" b="0"/>
            <wp:docPr id="12427404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40466" name="图片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9390" cy="2584450"/>
                    </a:xfrm>
                    <a:prstGeom prst="rect">
                      <a:avLst/>
                    </a:prstGeom>
                    <a:noFill/>
                    <a:ln>
                      <a:noFill/>
                    </a:ln>
                  </pic:spPr>
                </pic:pic>
              </a:graphicData>
            </a:graphic>
          </wp:inline>
        </w:drawing>
      </w:r>
    </w:p>
    <w:p w14:paraId="27B7567A">
      <w:pPr>
        <w:pStyle w:val="198"/>
        <w:ind w:left="0"/>
        <w:rPr>
          <w:rFonts w:hint="eastAsia"/>
          <w:kern w:val="2"/>
          <w:sz w:val="21"/>
        </w:rPr>
      </w:pPr>
      <w:r>
        <w:drawing>
          <wp:inline distT="0" distB="0" distL="0" distR="0">
            <wp:extent cx="5279390" cy="2584450"/>
            <wp:effectExtent l="0" t="0" r="0" b="0"/>
            <wp:docPr id="1425390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90126" name="图片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9390" cy="2584450"/>
                    </a:xfrm>
                    <a:prstGeom prst="rect">
                      <a:avLst/>
                    </a:prstGeom>
                    <a:noFill/>
                    <a:ln>
                      <a:noFill/>
                    </a:ln>
                  </pic:spPr>
                </pic:pic>
              </a:graphicData>
            </a:graphic>
          </wp:inline>
        </w:drawing>
      </w:r>
    </w:p>
    <w:p w14:paraId="603DC9A6">
      <w:pPr>
        <w:pStyle w:val="83"/>
        <w:numPr>
          <w:ilvl w:val="0"/>
          <w:numId w:val="0"/>
        </w:numPr>
        <w:spacing w:before="156" w:after="156"/>
      </w:pPr>
    </w:p>
    <w:p w14:paraId="4F15C97A">
      <w:pPr>
        <w:pStyle w:val="213"/>
        <w:ind w:left="0"/>
      </w:pPr>
      <w:r>
        <w:rPr>
          <w:rFonts w:hint="eastAsia"/>
        </w:rPr>
        <w:t>轴向布设方案是指将施加预应力的光纤光栅串沿着储氢气瓶轴向进行布设。光纤光栅应变传感器的布设位置选在气瓶瓶身中间到气瓶瓶肩段，沿着气瓶环向每隔90°布设一根光纤光栅串，共布设4根光纤光栅串，每根串上包含2~6个光纤光栅测点，具体测点数目由监测单位的需求、A类储氢气瓶铝内胆的尺寸大小来确定。</w:t>
      </w:r>
    </w:p>
    <w:p w14:paraId="102C4F73">
      <w:pPr>
        <w:pStyle w:val="213"/>
        <w:ind w:left="0"/>
      </w:pPr>
      <w:r>
        <w:rPr>
          <w:rFonts w:hint="eastAsia"/>
        </w:rPr>
        <w:t>复合布设方案是指将施加预应力的光纤光栅串依次沿着储氢气瓶的轴向与环向进行布设。光纤光栅应变传感器的布设位置选在气瓶瓶身中间到气瓶瓶肩段，沿着气瓶环向每隔90°布设一根光纤光栅串，共布设4根光纤光栅串，每根串上包含2~6个光纤光栅测点，具体测点数目由监测单位的需求、A类储氢气瓶铝内胆的尺寸大小来确定。</w:t>
      </w:r>
    </w:p>
    <w:p w14:paraId="3AA1A5B1">
      <w:pPr>
        <w:pStyle w:val="79"/>
        <w:spacing w:before="156" w:after="156"/>
        <w:ind w:left="0"/>
      </w:pPr>
      <w:r>
        <w:rPr>
          <w:rFonts w:hint="eastAsia"/>
        </w:rPr>
        <w:t>传感器尾纤引出方式</w:t>
      </w:r>
    </w:p>
    <w:p w14:paraId="7EA30021">
      <w:pPr>
        <w:pStyle w:val="213"/>
        <w:ind w:left="0"/>
      </w:pPr>
      <w:r>
        <w:rPr>
          <w:rFonts w:hint="eastAsia"/>
        </w:rPr>
        <w:t>每根光纤光栅串的尾纤从储氢气瓶的一端瓶口处引出，并在瓶颈处采用螺旋引出方式，螺旋引出示意图见</w:t>
      </w:r>
      <w:r>
        <w:rPr>
          <w:rFonts w:hint="eastAsia"/>
          <w:highlight w:val="yellow"/>
        </w:rPr>
        <w:t>图G.4</w:t>
      </w:r>
      <w:r>
        <w:rPr>
          <w:rFonts w:hint="eastAsia"/>
        </w:rPr>
        <w:t>.</w:t>
      </w:r>
    </w:p>
    <w:p w14:paraId="297AA232">
      <w:pPr>
        <w:pStyle w:val="213"/>
        <w:ind w:left="0"/>
      </w:pPr>
      <w:r>
        <w:rPr>
          <w:rFonts w:hint="eastAsia"/>
        </w:rPr>
        <w:t>尾纤长度应至少超过储氢气瓶瓶口10cm，以保证与光纤跳线的熔接长度要求。对超出瓶口部分的尾纤使用尼龙套管加以保护，以确保尾纤强度满足要求。</w:t>
      </w:r>
    </w:p>
    <w:p w14:paraId="70A453B4">
      <w:pPr>
        <w:pStyle w:val="78"/>
        <w:spacing w:before="156" w:after="156"/>
      </w:pPr>
      <w:r>
        <w:rPr>
          <w:rFonts w:hint="eastAsia"/>
        </w:rPr>
        <w:t>监测系统安装流程</w:t>
      </w:r>
    </w:p>
    <w:p w14:paraId="70F14072">
      <w:pPr>
        <w:pStyle w:val="79"/>
        <w:spacing w:before="156" w:after="156"/>
        <w:ind w:left="0"/>
      </w:pPr>
      <w:r>
        <w:rPr>
          <w:rFonts w:hint="eastAsia"/>
        </w:rPr>
        <w:t>安装时机</w:t>
      </w:r>
    </w:p>
    <w:p w14:paraId="09F1E56D">
      <w:pPr>
        <w:pStyle w:val="56"/>
        <w:ind w:firstLine="420"/>
      </w:pPr>
      <w:r>
        <w:rPr>
          <w:rFonts w:hint="eastAsia"/>
        </w:rPr>
        <w:t>监测系统安装时机应满足相关法规、规范、标准和设计技术文件的要求，同时还应满足合同双方商定的其他技术要求。</w:t>
      </w:r>
    </w:p>
    <w:p w14:paraId="4950F2B0">
      <w:pPr>
        <w:pStyle w:val="56"/>
        <w:ind w:firstLine="420"/>
      </w:pPr>
      <w:r>
        <w:rPr>
          <w:rFonts w:hint="eastAsia"/>
        </w:rPr>
        <w:t>除非另有规定，光纤光栅应变传感器的布设和安装应在Ⅲ型储氢气瓶内胆制造完工后，碳纤维缠绕工艺之前进行。</w:t>
      </w:r>
    </w:p>
    <w:p w14:paraId="2B9D695F">
      <w:pPr>
        <w:pStyle w:val="79"/>
        <w:spacing w:before="156" w:after="156"/>
        <w:ind w:left="0"/>
      </w:pPr>
      <w:r>
        <w:rPr>
          <w:rFonts w:hint="eastAsia"/>
        </w:rPr>
        <w:t>光纤光栅应变传感器的安装</w:t>
      </w:r>
    </w:p>
    <w:p w14:paraId="5545A0A1">
      <w:pPr>
        <w:pStyle w:val="213"/>
        <w:ind w:left="0"/>
      </w:pPr>
      <w:r>
        <w:rPr>
          <w:rFonts w:hint="eastAsia"/>
        </w:rPr>
        <w:t>按照G5.2规定的布设方案，利用卷尺和记号笔，预先在储氢气瓶的铝内胆外壁标记传感器的粘贴位置与布设线路。</w:t>
      </w:r>
    </w:p>
    <w:p w14:paraId="2474B377">
      <w:pPr>
        <w:pStyle w:val="213"/>
        <w:ind w:left="0"/>
      </w:pPr>
      <w:r>
        <w:rPr>
          <w:rFonts w:hint="eastAsia"/>
        </w:rPr>
        <w:t>使用环氧树脂胶或特定其他胶，沿着预先标记的布设线路将传感器粘贴在铝内胆外壁表面，粘贴工艺按照GB/T13992的规定进行，但尽量避免长期使用。</w:t>
      </w:r>
    </w:p>
    <w:p w14:paraId="0C8C8F19">
      <w:pPr>
        <w:pStyle w:val="213"/>
        <w:ind w:left="0"/>
      </w:pPr>
      <w:r>
        <w:rPr>
          <w:rFonts w:hint="eastAsia"/>
        </w:rPr>
        <w:t>利用碳纤维缠绕机，将碳纤维逐步覆盖在光纤光栅应变传感器上，缠绕过程中光纤不能发生滑动。</w:t>
      </w:r>
    </w:p>
    <w:p w14:paraId="739F079C">
      <w:pPr>
        <w:pStyle w:val="213"/>
        <w:ind w:left="0"/>
      </w:pPr>
      <w:r>
        <w:rPr>
          <w:rFonts w:hint="eastAsia"/>
        </w:rPr>
        <w:t>注意储氢气瓶的铝内胆外壁不能进行钻孔、开槽等破环结构的操作，环氧树脂胶的厚度需小于0.2mm，不能影响后续碳纤维的缠绕流程。</w:t>
      </w:r>
    </w:p>
    <w:p w14:paraId="6789C86C">
      <w:pPr>
        <w:pStyle w:val="79"/>
        <w:spacing w:before="156" w:after="156"/>
        <w:ind w:left="0"/>
      </w:pPr>
      <w:r>
        <w:rPr>
          <w:rFonts w:hint="eastAsia"/>
        </w:rPr>
        <w:t>光纤跳线的安装</w:t>
      </w:r>
    </w:p>
    <w:p w14:paraId="37FA9D0A">
      <w:pPr>
        <w:pStyle w:val="213"/>
        <w:ind w:left="0"/>
      </w:pPr>
      <w:r>
        <w:rPr>
          <w:rFonts w:hint="eastAsia"/>
        </w:rPr>
        <w:t>光纤跳线应得到有资质的第三方测试认证，具有测试证书，其测试证书内容至少应包括：传输模式、插入损耗、反射损耗、接口类型等。</w:t>
      </w:r>
    </w:p>
    <w:p w14:paraId="78032DE6">
      <w:pPr>
        <w:pStyle w:val="213"/>
        <w:ind w:left="0"/>
      </w:pPr>
      <w:r>
        <w:rPr>
          <w:rFonts w:hint="eastAsia"/>
        </w:rPr>
        <w:t>光纤跳线需依次完成光纤保护套剥离、裸光纤端面切割以及光纤在熔接机上的放置操作，操作过程中需进行裸光纤的清洁，并注意裸光纤端面不能触碰外物。</w:t>
      </w:r>
    </w:p>
    <w:p w14:paraId="0A600C21">
      <w:pPr>
        <w:pStyle w:val="213"/>
        <w:ind w:left="0"/>
      </w:pPr>
      <w:r>
        <w:rPr>
          <w:rFonts w:hint="eastAsia"/>
        </w:rPr>
        <w:t>利用光纤熔接机将光纤光栅应变传感器的尾纤与光纤跳线进行连接，熔接标准可按照GB/T17570实施。</w:t>
      </w:r>
    </w:p>
    <w:p w14:paraId="5D37888A">
      <w:pPr>
        <w:pStyle w:val="213"/>
        <w:ind w:left="0"/>
      </w:pPr>
      <w:r>
        <w:rPr>
          <w:rFonts w:hint="eastAsia"/>
        </w:rPr>
        <w:t>熔接完成后，复检光纤跳线的插入损耗。</w:t>
      </w:r>
    </w:p>
    <w:p w14:paraId="0ECC1520">
      <w:pPr>
        <w:pStyle w:val="79"/>
        <w:spacing w:before="156" w:after="156"/>
        <w:ind w:left="0"/>
      </w:pPr>
      <w:r>
        <w:rPr>
          <w:rFonts w:hint="eastAsia"/>
        </w:rPr>
        <w:t>解调仪的连接</w:t>
      </w:r>
    </w:p>
    <w:p w14:paraId="5D79DDE1">
      <w:pPr>
        <w:pStyle w:val="213"/>
        <w:ind w:left="0"/>
      </w:pPr>
      <w:r>
        <w:rPr>
          <w:rFonts w:hint="eastAsia"/>
        </w:rPr>
        <w:t>解调仪使用标准以太网接口，通过网线以TCP/IP协议与计算机相连接；</w:t>
      </w:r>
    </w:p>
    <w:p w14:paraId="5160C02A">
      <w:pPr>
        <w:pStyle w:val="213"/>
        <w:ind w:left="0"/>
      </w:pPr>
      <w:r>
        <w:rPr>
          <w:rFonts w:hint="eastAsia"/>
        </w:rPr>
        <w:t>将光纤跳线连接至解调仪的光纤接口处，注意插入光纤跳线时，需使用无水乙醇对接头进行清洁处理；</w:t>
      </w:r>
    </w:p>
    <w:p w14:paraId="45D53E23">
      <w:pPr>
        <w:pStyle w:val="213"/>
        <w:ind w:left="0"/>
      </w:pPr>
      <w:r>
        <w:rPr>
          <w:rFonts w:hint="eastAsia"/>
        </w:rPr>
        <w:t>实验前，应对解调仪的解调程序进行测试，建议根据监测频率适当调整解调仪的采集频率。</w:t>
      </w:r>
    </w:p>
    <w:p w14:paraId="6A554E40">
      <w:pPr>
        <w:pStyle w:val="78"/>
        <w:spacing w:before="156" w:after="156"/>
      </w:pPr>
      <w:r>
        <w:rPr>
          <w:rFonts w:hint="eastAsia"/>
        </w:rPr>
        <w:t>Ⅲ型储氢气瓶应变在线监测系统</w:t>
      </w:r>
    </w:p>
    <w:p w14:paraId="2DF27BBF">
      <w:pPr>
        <w:pStyle w:val="79"/>
        <w:spacing w:before="156" w:after="156"/>
        <w:ind w:left="0"/>
      </w:pPr>
      <w:r>
        <w:rPr>
          <w:rFonts w:hint="eastAsia"/>
        </w:rPr>
        <w:t>监测环境</w:t>
      </w:r>
    </w:p>
    <w:p w14:paraId="4535B967">
      <w:pPr>
        <w:pStyle w:val="56"/>
        <w:ind w:firstLine="420"/>
      </w:pPr>
      <w:r>
        <w:rPr>
          <w:rFonts w:hint="eastAsia"/>
        </w:rPr>
        <w:t>监测环境应满足以下要求：</w:t>
      </w:r>
    </w:p>
    <w:p w14:paraId="39167CC2">
      <w:pPr>
        <w:pStyle w:val="174"/>
        <w:numPr>
          <w:ilvl w:val="0"/>
          <w:numId w:val="81"/>
        </w:numPr>
      </w:pPr>
      <w:r>
        <w:rPr>
          <w:rFonts w:hint="eastAsia"/>
        </w:rPr>
        <w:t>温度：15℃~35℃；</w:t>
      </w:r>
    </w:p>
    <w:p w14:paraId="2EBCFE3C">
      <w:pPr>
        <w:pStyle w:val="174"/>
      </w:pPr>
      <w:r>
        <w:rPr>
          <w:rFonts w:hint="eastAsia"/>
        </w:rPr>
        <w:t>相对湿度：20%~80%；</w:t>
      </w:r>
    </w:p>
    <w:p w14:paraId="237222E2">
      <w:pPr>
        <w:pStyle w:val="174"/>
      </w:pPr>
      <w:r>
        <w:rPr>
          <w:rFonts w:hint="eastAsia"/>
        </w:rPr>
        <w:t>大气压力：标准大气压；</w:t>
      </w:r>
    </w:p>
    <w:p w14:paraId="62A03CAA">
      <w:pPr>
        <w:pStyle w:val="174"/>
      </w:pPr>
      <w:r>
        <w:rPr>
          <w:rFonts w:hint="eastAsia"/>
        </w:rPr>
        <w:t>应有良好的接地及防静电措施。</w:t>
      </w:r>
    </w:p>
    <w:p w14:paraId="61CC7A64">
      <w:pPr>
        <w:pStyle w:val="79"/>
        <w:spacing w:before="156" w:after="156"/>
        <w:ind w:left="0"/>
      </w:pPr>
      <w:r>
        <w:rPr>
          <w:rFonts w:hint="eastAsia"/>
        </w:rPr>
        <w:t>系统监测流程</w:t>
      </w:r>
    </w:p>
    <w:p w14:paraId="16EFE0EA">
      <w:pPr>
        <w:pStyle w:val="56"/>
        <w:ind w:firstLine="420"/>
      </w:pPr>
      <w:r>
        <w:rPr>
          <w:rFonts w:hint="eastAsia"/>
        </w:rPr>
        <w:t>光纤光栅应变监测流程如下：</w:t>
      </w:r>
    </w:p>
    <w:p w14:paraId="0B9434D2">
      <w:pPr>
        <w:pStyle w:val="174"/>
        <w:numPr>
          <w:ilvl w:val="0"/>
          <w:numId w:val="82"/>
        </w:numPr>
      </w:pPr>
      <w:r>
        <w:rPr>
          <w:rFonts w:hint="eastAsia"/>
        </w:rPr>
        <w:t>光纤光栅应变传感器布设方案确立；</w:t>
      </w:r>
    </w:p>
    <w:p w14:paraId="4FBB1E86">
      <w:pPr>
        <w:pStyle w:val="174"/>
      </w:pPr>
      <w:r>
        <w:rPr>
          <w:rFonts w:hint="eastAsia"/>
        </w:rPr>
        <w:t>光纤光栅布设与安装；</w:t>
      </w:r>
    </w:p>
    <w:p w14:paraId="588EEA66">
      <w:pPr>
        <w:pStyle w:val="174"/>
      </w:pPr>
      <w:r>
        <w:rPr>
          <w:rFonts w:hint="eastAsia"/>
        </w:rPr>
        <w:t>光路搭建；</w:t>
      </w:r>
    </w:p>
    <w:p w14:paraId="7DC31E39">
      <w:pPr>
        <w:pStyle w:val="174"/>
      </w:pPr>
      <w:r>
        <w:rPr>
          <w:rFonts w:hint="eastAsia"/>
        </w:rPr>
        <w:t>中心波长信号记录；</w:t>
      </w:r>
    </w:p>
    <w:p w14:paraId="6E3B0119">
      <w:pPr>
        <w:pStyle w:val="174"/>
      </w:pPr>
      <w:r>
        <w:rPr>
          <w:rFonts w:hint="eastAsia"/>
        </w:rPr>
        <w:t>应变数据后处理。</w:t>
      </w:r>
    </w:p>
    <w:p w14:paraId="758D226D">
      <w:pPr>
        <w:pStyle w:val="79"/>
        <w:spacing w:before="156" w:after="156"/>
        <w:ind w:left="0"/>
      </w:pPr>
      <w:r>
        <w:rPr>
          <w:rFonts w:hint="eastAsia"/>
        </w:rPr>
        <w:t>系统监测频率</w:t>
      </w:r>
    </w:p>
    <w:p w14:paraId="16B45FCA">
      <w:pPr>
        <w:pStyle w:val="56"/>
        <w:ind w:firstLine="420"/>
      </w:pPr>
      <w:r>
        <w:rPr>
          <w:rFonts w:hint="eastAsia"/>
        </w:rPr>
        <w:t>监测频率的选择应综合考虑储氢气瓶的使用场景、周边环境、自然条件等因素。</w:t>
      </w:r>
    </w:p>
    <w:p w14:paraId="20CB8DFE">
      <w:pPr>
        <w:pStyle w:val="56"/>
        <w:ind w:firstLine="420"/>
      </w:pPr>
      <w:r>
        <w:rPr>
          <w:rFonts w:hint="eastAsia"/>
        </w:rPr>
        <w:t>监测频率应满足监测系统实时反映当前储氢气瓶待测点应变值、形变量及其变化趋势的要求，监测频次宜每分钟不低于6次。</w:t>
      </w:r>
    </w:p>
    <w:p w14:paraId="3C13194C">
      <w:pPr>
        <w:pStyle w:val="56"/>
        <w:ind w:firstLine="420"/>
      </w:pPr>
      <w:r>
        <w:rPr>
          <w:rFonts w:hint="eastAsia"/>
        </w:rPr>
        <w:t>若出现以下情况时，应调整监测频率值：</w:t>
      </w:r>
    </w:p>
    <w:p w14:paraId="43BE5226">
      <w:pPr>
        <w:pStyle w:val="174"/>
        <w:numPr>
          <w:ilvl w:val="0"/>
          <w:numId w:val="83"/>
        </w:numPr>
      </w:pPr>
      <w:r>
        <w:rPr>
          <w:rFonts w:hint="eastAsia"/>
        </w:rPr>
        <w:t>应变监测值达到预先设定阈值或报警值；</w:t>
      </w:r>
    </w:p>
    <w:p w14:paraId="776257F7">
      <w:pPr>
        <w:pStyle w:val="174"/>
      </w:pPr>
      <w:r>
        <w:rPr>
          <w:rFonts w:hint="eastAsia"/>
        </w:rPr>
        <w:t>应变监测值出现异常波动；</w:t>
      </w:r>
    </w:p>
    <w:p w14:paraId="3417BAF7">
      <w:pPr>
        <w:pStyle w:val="174"/>
      </w:pPr>
      <w:r>
        <w:rPr>
          <w:rFonts w:hint="eastAsia"/>
        </w:rPr>
        <w:t>其他引起储氢气瓶应变异常的情况。</w:t>
      </w:r>
    </w:p>
    <w:p w14:paraId="6E07706C">
      <w:pPr>
        <w:pStyle w:val="79"/>
        <w:spacing w:before="156" w:after="156"/>
        <w:ind w:left="0"/>
      </w:pPr>
      <w:r>
        <w:rPr>
          <w:rFonts w:hint="eastAsia"/>
        </w:rPr>
        <w:t>数据采集、传输、保存</w:t>
      </w:r>
    </w:p>
    <w:p w14:paraId="61043A55">
      <w:pPr>
        <w:pStyle w:val="56"/>
        <w:ind w:firstLine="420"/>
      </w:pPr>
      <w:r>
        <w:rPr>
          <w:rFonts w:hint="eastAsia"/>
        </w:rPr>
        <w:t>数据采集设备即光纤光栅解调仪应放在具有良好保护性能的房间内，避免震动、高低温、潮湿等不良环境影响。数据采集可采用动态、静态两种方式，动态采集的采样频率应根据实际需要确定。解调数据通过标准以太网接口传输至计算机中进行后处理和保存，数据保存内容包括：</w:t>
      </w:r>
    </w:p>
    <w:p w14:paraId="7A3EB694">
      <w:pPr>
        <w:pStyle w:val="174"/>
        <w:numPr>
          <w:ilvl w:val="0"/>
          <w:numId w:val="84"/>
        </w:numPr>
      </w:pPr>
      <w:r>
        <w:rPr>
          <w:rFonts w:hint="eastAsia"/>
        </w:rPr>
        <w:t>仪器初始参数：在仪器第一次启动时，初始阶段的全部参数，如初始光谱、应变、温度等；</w:t>
      </w:r>
    </w:p>
    <w:p w14:paraId="401E4A18">
      <w:pPr>
        <w:pStyle w:val="174"/>
      </w:pPr>
      <w:r>
        <w:rPr>
          <w:rFonts w:hint="eastAsia"/>
        </w:rPr>
        <w:t>测量结果：仪器正常运行期间监测的中心波长数据，和经过处理得到的储氢气瓶各测点应变变化图。</w:t>
      </w:r>
    </w:p>
    <w:p w14:paraId="3BE5E9E3">
      <w:pPr>
        <w:pStyle w:val="78"/>
        <w:spacing w:before="156" w:after="156"/>
      </w:pPr>
      <w:r>
        <w:rPr>
          <w:rFonts w:hint="eastAsia"/>
        </w:rPr>
        <w:t>监测系统的维护</w:t>
      </w:r>
    </w:p>
    <w:p w14:paraId="7CF92597">
      <w:pPr>
        <w:pStyle w:val="56"/>
        <w:ind w:firstLine="420"/>
      </w:pPr>
      <w:r>
        <w:rPr>
          <w:rFonts w:hint="eastAsia"/>
        </w:rPr>
        <w:t>应对仪器设备进行周期性的检查和调节，维护仪器的功能。在现场进行监测时，如发现仪器设备产生错误或部分变化，也应对仪器进行功能的检查和调节。维护工作应按照制定的书面程序进行，并应对每次维护检查的结果进行记录。</w:t>
      </w:r>
    </w:p>
    <w:p w14:paraId="5F347CFD">
      <w:pPr>
        <w:pStyle w:val="78"/>
        <w:spacing w:before="156" w:after="156"/>
      </w:pPr>
      <w:bookmarkStart w:id="207" w:name="_Toc128405496"/>
      <w:r>
        <w:rPr>
          <w:rFonts w:hint="eastAsia"/>
        </w:rPr>
        <w:t>监测技术报告</w:t>
      </w:r>
      <w:bookmarkEnd w:id="207"/>
    </w:p>
    <w:p w14:paraId="7BABE16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监测报告的内容应根据要求制定，应至少包括以下要素：</w:t>
      </w:r>
    </w:p>
    <w:p w14:paraId="0BF42BE8">
      <w:pPr>
        <w:pStyle w:val="174"/>
        <w:numPr>
          <w:ilvl w:val="0"/>
          <w:numId w:val="85"/>
        </w:numPr>
      </w:pPr>
      <w:r>
        <w:rPr>
          <w:rFonts w:hint="eastAsia"/>
        </w:rPr>
        <w:t>监测单位的名称；</w:t>
      </w:r>
    </w:p>
    <w:p w14:paraId="314508F9">
      <w:pPr>
        <w:pStyle w:val="174"/>
      </w:pPr>
      <w:r>
        <w:rPr>
          <w:rFonts w:hint="eastAsia"/>
        </w:rPr>
        <w:t>储氢气瓶型号；</w:t>
      </w:r>
    </w:p>
    <w:p w14:paraId="4075F9F2">
      <w:pPr>
        <w:pStyle w:val="174"/>
      </w:pPr>
      <w:r>
        <w:rPr>
          <w:rFonts w:hint="eastAsia"/>
        </w:rPr>
        <w:t>光纤传感器及解调仪型号；</w:t>
      </w:r>
    </w:p>
    <w:p w14:paraId="09028951">
      <w:pPr>
        <w:pStyle w:val="174"/>
      </w:pPr>
      <w:r>
        <w:rPr>
          <w:rFonts w:hint="eastAsia"/>
        </w:rPr>
        <w:t>光纤传感器安装位置；</w:t>
      </w:r>
    </w:p>
    <w:p w14:paraId="415A9815">
      <w:pPr>
        <w:pStyle w:val="174"/>
      </w:pPr>
      <w:r>
        <w:rPr>
          <w:rFonts w:hint="eastAsia"/>
        </w:rPr>
        <w:t>传感器安装工艺；</w:t>
      </w:r>
    </w:p>
    <w:p w14:paraId="4B89252F">
      <w:pPr>
        <w:pStyle w:val="174"/>
      </w:pPr>
      <w:r>
        <w:rPr>
          <w:rFonts w:hint="eastAsia"/>
        </w:rPr>
        <w:t>应力应变数据；</w:t>
      </w:r>
    </w:p>
    <w:p w14:paraId="676467D2">
      <w:pPr>
        <w:pStyle w:val="174"/>
      </w:pPr>
      <w:r>
        <w:rPr>
          <w:rFonts w:hint="eastAsia"/>
        </w:rPr>
        <w:t>监测人员及监测日期。</w:t>
      </w:r>
    </w:p>
    <w:p w14:paraId="11EFC4C6">
      <w:pPr>
        <w:pStyle w:val="56"/>
        <w:ind w:firstLine="420"/>
      </w:pPr>
    </w:p>
    <w:p w14:paraId="365C9F78">
      <w:pPr>
        <w:pStyle w:val="56"/>
        <w:ind w:firstLine="420"/>
      </w:pPr>
    </w:p>
    <w:p w14:paraId="1A5E99A2">
      <w:pPr>
        <w:pStyle w:val="56"/>
        <w:ind w:firstLine="420"/>
      </w:pPr>
    </w:p>
    <w:p w14:paraId="3A38A9ED">
      <w:pPr>
        <w:pStyle w:val="56"/>
        <w:ind w:firstLine="420"/>
      </w:pPr>
    </w:p>
    <w:bookmarkEnd w:id="84"/>
    <w:p w14:paraId="2ADBCD47">
      <w:pPr>
        <w:widowControl/>
        <w:autoSpaceDE w:val="0"/>
        <w:autoSpaceDN w:val="0"/>
        <w:adjustRightInd/>
        <w:spacing w:line="240" w:lineRule="auto"/>
        <w:ind w:left="840"/>
        <w:rPr>
          <w:rFonts w:ascii="宋体" w:hAnsi="Times New Roman"/>
          <w:kern w:val="0"/>
          <w:szCs w:val="20"/>
        </w:rPr>
      </w:pPr>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Helvetica">
    <w:altName w:val="Arial"/>
    <w:panose1 w:val="020B0604020202020204"/>
    <w:charset w:val="00"/>
    <w:family w:val="swiss"/>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C92E3">
    <w:pPr>
      <w:pStyle w:val="17"/>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DD10F0">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F5C6D">
    <w:pPr>
      <w:pStyle w:val="52"/>
    </w:pPr>
    <w:r>
      <w:fldChar w:fldCharType="begin"/>
    </w:r>
    <w:r>
      <w:instrText xml:space="preserve">PAGE   \* MERGEFORMAT</w:instrText>
    </w:r>
    <w:r>
      <w:fldChar w:fldCharType="separate"/>
    </w:r>
    <w:r>
      <w:rPr>
        <w:lang w:val="zh-CN"/>
      </w:rPr>
      <w:t>1</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43C68">
    <w:pPr>
      <w:pStyle w:val="5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92D53">
    <w:pPr>
      <w:pStyle w:val="17"/>
    </w:pPr>
    <w:r>
      <mc:AlternateContent>
        <mc:Choice Requires="wps">
          <w:drawing>
            <wp:anchor distT="0" distB="0" distL="114300" distR="114300" simplePos="0" relativeHeight="251662336"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2BBBD27">
                          <w:pPr>
                            <w:pStyle w:val="17"/>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68pt;height:144pt;width:144pt;mso-position-horizontal-relative:page;mso-position-vertical-relative:page;mso-wrap-style:none;z-index:251662336;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BiE5dYAAAALAQAADwAAAAAAAAABACAAAAAiAAAAZHJzL2Rvd25yZXYueG1sUEsBAhQA&#10;FAAAAAgAh07iQCrmw5stAgAAVwQAAA4AAAAAAAAAAQAgAAAAJQEAAGRycy9lMm9Eb2MueG1sUEsF&#10;BgAAAAAGAAYAWQEAAMQFAAAAAA==&#10;">
              <v:fill on="f" focussize="0,0"/>
              <v:stroke on="f" weight="0.5pt"/>
              <v:imagedata o:title=""/>
              <o:lock v:ext="edit" aspectratio="f"/>
              <v:textbox inset="0mm,0mm,0mm,0mm" style="layout-flow:vertical-ideographic;mso-fit-shape-to-text:t;">
                <w:txbxContent>
                  <w:p w14:paraId="02BBBD27">
                    <w:pPr>
                      <w:pStyle w:val="17"/>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79D37">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2B86E0">
    <w:pPr>
      <w:pStyle w:val="18"/>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3BCAF">
    <w:pPr>
      <w:pStyle w:val="61"/>
      <w:rPr>
        <w:rFonts w:hint="eastAsia"/>
      </w:rPr>
    </w:pPr>
    <w:r>
      <w:fldChar w:fldCharType="begin"/>
    </w:r>
    <w:r>
      <w:instrText xml:space="preserve"> STYLEREF  标准文件_文件编号  \* MERGEFORMAT </w:instrText>
    </w:r>
    <w:r>
      <w:fldChar w:fldCharType="separate"/>
    </w:r>
    <w:r>
      <w:t>DB 32/T XXXX—2023</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DEE69">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32/T XXXX—2023</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8DD14">
    <w:pPr>
      <w:pStyle w:val="61"/>
      <w:rPr>
        <w:rFonts w:hint="eastAsia"/>
      </w:rPr>
    </w:pPr>
    <w:r>
      <mc:AlternateContent>
        <mc:Choice Requires="wps">
          <w:drawing>
            <wp:anchor distT="0" distB="0" distL="114300" distR="114300" simplePos="0" relativeHeight="251659264" behindDoc="0" locked="0" layoutInCell="1" allowOverlap="1">
              <wp:simplePos x="0" y="0"/>
              <wp:positionH relativeFrom="page">
                <wp:posOffset>9539605</wp:posOffset>
              </wp:positionH>
              <wp:positionV relativeFrom="page">
                <wp:posOffset>5568950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6D5FAFA">
                          <w:pPr>
                            <w:pStyle w:val="61"/>
                            <w:rPr>
                              <w:rFonts w:hint="eastAsia"/>
                            </w:rPr>
                          </w:pPr>
                          <w:r>
                            <w:fldChar w:fldCharType="begin"/>
                          </w:r>
                          <w:r>
                            <w:instrText xml:space="preserve"> STYLEREF  标准文件_文件编号  \* MERGEFORMAT </w:instrText>
                          </w:r>
                          <w:r>
                            <w:fldChar w:fldCharType="separate"/>
                          </w:r>
                          <w:r>
                            <w:t>DB 32/T XXXX—2023</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38.5pt;height:144pt;width:144pt;mso-position-horizontal-relative:page;mso-position-vertical-relative:page;mso-wrap-style:none;z-index:251659264;v-text-anchor:bottom;mso-width-relative:page;mso-height-relative:page;" filled="f" stroked="f" coordsize="21600,21600" o:gfxdata="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SceweN0AAAAOAQAADwAAAAAAAAABACAAAAAiAAAAZHJz&#10;L2Rvd25yZXYueG1sUEsBAhQAFAAAAAgAh07iQIs0JYc4AgAAZwQAAA4AAAAAAAAAAQAgAAAALAEA&#10;AGRycy9lMm9Eb2MueG1sUEsFBgAAAAAGAAYAWQEAANYFAAAAAA==&#10;">
              <v:fill on="f" focussize="0,0"/>
              <v:stroke on="f" weight="0.5pt"/>
              <v:imagedata o:title=""/>
              <o:lock v:ext="edit" aspectratio="f"/>
              <v:textbox style="layout-flow:vertical-ideographic;mso-fit-shape-to-text:t;">
                <w:txbxContent>
                  <w:p w14:paraId="06D5FAFA">
                    <w:pPr>
                      <w:pStyle w:val="61"/>
                      <w:rPr>
                        <w:rFonts w:hint="eastAsia"/>
                      </w:rPr>
                    </w:pPr>
                    <w:r>
                      <w:fldChar w:fldCharType="begin"/>
                    </w:r>
                    <w:r>
                      <w:instrText xml:space="preserve"> STYLEREF  标准文件_文件编号  \* MERGEFORMAT </w:instrText>
                    </w:r>
                    <w:r>
                      <w:fldChar w:fldCharType="separate"/>
                    </w:r>
                    <w:r>
                      <w:t>DB 32/T XXXX—2023</w:t>
                    </w:r>
                    <w:r>
                      <w:fldChar w:fldCharType="end"/>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FAE47">
    <w:pPr>
      <w:pStyle w:val="62"/>
      <w:rPr>
        <w:rFonts w:hint="eastAsia"/>
      </w:rPr>
    </w:pPr>
    <w:r>
      <mc:AlternateContent>
        <mc:Choice Requires="wps">
          <w:drawing>
            <wp:anchor distT="0" distB="0" distL="114300" distR="114300" simplePos="0" relativeHeight="251661312" behindDoc="0" locked="0" layoutInCell="1" allowOverlap="1">
              <wp:simplePos x="0" y="0"/>
              <wp:positionH relativeFrom="page">
                <wp:posOffset>9719945</wp:posOffset>
              </wp:positionH>
              <wp:positionV relativeFrom="page">
                <wp:posOffset>899795</wp:posOffset>
              </wp:positionV>
              <wp:extent cx="1828800" cy="1828800"/>
              <wp:effectExtent l="0" t="0" r="5080" b="12065"/>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2FE9BB9">
                          <w:pPr>
                            <w:pStyle w:val="62"/>
                            <w:rPr>
                              <w:rFonts w:hint="eastAsia"/>
                            </w:rPr>
                          </w:pPr>
                          <w:r>
                            <w:fldChar w:fldCharType="begin"/>
                          </w:r>
                          <w:r>
                            <w:instrText xml:space="preserve"> STYLEREF  标准文件_文件编号 \* MERGEFORMAT </w:instrText>
                          </w:r>
                          <w:r>
                            <w:fldChar w:fldCharType="separate"/>
                          </w:r>
                          <w:r>
                            <w:t>DB 32/T XXXX—2023</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765.35pt;margin-top:70.85pt;height:144pt;width:144pt;mso-position-horizontal-relative:page;mso-position-vertical-relative:page;mso-wrap-style:none;z-index:251661312;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LIuxzZAAAADQEAAA8AAAAAAAAAAQAgAAAAIgAAAGRycy9kb3ducmV2LnhtbFBL&#10;AQIUABQAAAAIAIdO4kA7QJGiLgIAAFcEAAAOAAAAAAAAAAEAIAAAACgBAABkcnMvZTJvRG9jLnht&#10;bFBLBQYAAAAABgAGAFkBAADIBQAAAAA=&#10;">
              <v:fill on="f" focussize="0,0"/>
              <v:stroke on="f" weight="0.5pt"/>
              <v:imagedata o:title=""/>
              <o:lock v:ext="edit" aspectratio="f"/>
              <v:textbox inset="0mm,0mm,0mm,0mm" style="layout-flow:vertical-ideographic;mso-fit-shape-to-text:t;">
                <w:txbxContent>
                  <w:p w14:paraId="12FE9BB9">
                    <w:pPr>
                      <w:pStyle w:val="62"/>
                      <w:rPr>
                        <w:rFonts w:hint="eastAsia"/>
                      </w:rPr>
                    </w:pPr>
                    <w:r>
                      <w:fldChar w:fldCharType="begin"/>
                    </w:r>
                    <w:r>
                      <w:instrText xml:space="preserve"> STYLEREF  标准文件_文件编号 \* MERGEFORMAT </w:instrText>
                    </w:r>
                    <w:r>
                      <w:fldChar w:fldCharType="separate"/>
                    </w:r>
                    <w:r>
                      <w:t>DB 32/T XXXX—2023</w:t>
                    </w:r>
                    <w:r>
                      <w:fldChar w:fldCharType="end"/>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hAnsi="黑体" w:eastAsia="黑体"/>
        <w:b w:val="0"/>
        <w:i w:val="0"/>
        <w:sz w:val="21"/>
      </w:rPr>
    </w:lvl>
    <w:lvl w:ilvl="3" w:tentative="0">
      <w:start w:val="1"/>
      <w:numFmt w:val="decimal"/>
      <w:pStyle w:val="81"/>
      <w:suff w:val="nothing"/>
      <w:lvlText w:val="%1.%2.%3.%4　"/>
      <w:lvlJc w:val="left"/>
      <w:pPr>
        <w:ind w:left="1276" w:firstLine="0"/>
      </w:pPr>
      <w:rPr>
        <w:rFonts w:hint="eastAsia" w:ascii="黑体" w:eastAsia="黑体"/>
        <w:b w:val="0"/>
        <w:i w:val="0"/>
        <w:sz w:val="21"/>
      </w:rPr>
    </w:lvl>
    <w:lvl w:ilvl="4" w:tentative="0">
      <w:start w:val="1"/>
      <w:numFmt w:val="decimal"/>
      <w:pStyle w:val="82"/>
      <w:suff w:val="nothing"/>
      <w:lvlText w:val="%1.%2.%3.%4.%5　"/>
      <w:lvlJc w:val="left"/>
      <w:pPr>
        <w:ind w:left="993"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QzMDViOTQyZDA3NTI0YWJmMzYzY2NkZDZkNzgwYTYifQ=="/>
    <w:docVar w:name="KSO_WPS_MARK_KEY" w:val="537b19ba-cd07-459d-8929-0dbea46558f8"/>
  </w:docVars>
  <w:rsids>
    <w:rsidRoot w:val="00076F0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5189"/>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6F08"/>
    <w:rsid w:val="00077B64"/>
    <w:rsid w:val="00080A1C"/>
    <w:rsid w:val="00082317"/>
    <w:rsid w:val="00083D2C"/>
    <w:rsid w:val="00086AA1"/>
    <w:rsid w:val="00087A77"/>
    <w:rsid w:val="00090CA6"/>
    <w:rsid w:val="00091B8E"/>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4D80"/>
    <w:rsid w:val="000C57D6"/>
    <w:rsid w:val="000C6362"/>
    <w:rsid w:val="000C7666"/>
    <w:rsid w:val="000D0A9C"/>
    <w:rsid w:val="000D1795"/>
    <w:rsid w:val="000D329A"/>
    <w:rsid w:val="000D48F0"/>
    <w:rsid w:val="000D4B9C"/>
    <w:rsid w:val="000D4EB6"/>
    <w:rsid w:val="000D753B"/>
    <w:rsid w:val="000E3AEC"/>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53B"/>
    <w:rsid w:val="001356C4"/>
    <w:rsid w:val="00141114"/>
    <w:rsid w:val="00142969"/>
    <w:rsid w:val="001446C2"/>
    <w:rsid w:val="001457E7"/>
    <w:rsid w:val="00145D9D"/>
    <w:rsid w:val="00146388"/>
    <w:rsid w:val="001529E5"/>
    <w:rsid w:val="00153C7E"/>
    <w:rsid w:val="00155F97"/>
    <w:rsid w:val="00156B25"/>
    <w:rsid w:val="00156E1A"/>
    <w:rsid w:val="00157894"/>
    <w:rsid w:val="00157B55"/>
    <w:rsid w:val="00161A64"/>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5D87"/>
    <w:rsid w:val="00176DFD"/>
    <w:rsid w:val="001852C9"/>
    <w:rsid w:val="00190087"/>
    <w:rsid w:val="00190EEA"/>
    <w:rsid w:val="001913C4"/>
    <w:rsid w:val="0019348F"/>
    <w:rsid w:val="00193A07"/>
    <w:rsid w:val="00194C95"/>
    <w:rsid w:val="00195C34"/>
    <w:rsid w:val="00196EF5"/>
    <w:rsid w:val="001A1A53"/>
    <w:rsid w:val="001A234A"/>
    <w:rsid w:val="001A4CF3"/>
    <w:rsid w:val="001A5EDC"/>
    <w:rsid w:val="001B06E8"/>
    <w:rsid w:val="001B71D0"/>
    <w:rsid w:val="001B71EE"/>
    <w:rsid w:val="001B72F3"/>
    <w:rsid w:val="001C04A8"/>
    <w:rsid w:val="001C2C03"/>
    <w:rsid w:val="001C42F7"/>
    <w:rsid w:val="001C49E5"/>
    <w:rsid w:val="001C680C"/>
    <w:rsid w:val="001C7FEA"/>
    <w:rsid w:val="001D0499"/>
    <w:rsid w:val="001D0B18"/>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6D3C"/>
    <w:rsid w:val="0022794E"/>
    <w:rsid w:val="0023092A"/>
    <w:rsid w:val="00233D64"/>
    <w:rsid w:val="0023482A"/>
    <w:rsid w:val="002359CB"/>
    <w:rsid w:val="00240126"/>
    <w:rsid w:val="00243540"/>
    <w:rsid w:val="0024497B"/>
    <w:rsid w:val="0024515B"/>
    <w:rsid w:val="00246021"/>
    <w:rsid w:val="0024666E"/>
    <w:rsid w:val="00247F52"/>
    <w:rsid w:val="00250B25"/>
    <w:rsid w:val="00250BBE"/>
    <w:rsid w:val="002515C2"/>
    <w:rsid w:val="0025194F"/>
    <w:rsid w:val="00255920"/>
    <w:rsid w:val="0026148A"/>
    <w:rsid w:val="00262696"/>
    <w:rsid w:val="00263D25"/>
    <w:rsid w:val="002643C3"/>
    <w:rsid w:val="00264A0C"/>
    <w:rsid w:val="00264B41"/>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10A"/>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2F7C30"/>
    <w:rsid w:val="00300E63"/>
    <w:rsid w:val="00302F5F"/>
    <w:rsid w:val="0030441D"/>
    <w:rsid w:val="00306063"/>
    <w:rsid w:val="00313B85"/>
    <w:rsid w:val="00317988"/>
    <w:rsid w:val="003221B4"/>
    <w:rsid w:val="0032258D"/>
    <w:rsid w:val="00322E62"/>
    <w:rsid w:val="00324A8C"/>
    <w:rsid w:val="00324D13"/>
    <w:rsid w:val="00324D2A"/>
    <w:rsid w:val="00324EDD"/>
    <w:rsid w:val="003331E4"/>
    <w:rsid w:val="00333D1C"/>
    <w:rsid w:val="00336C64"/>
    <w:rsid w:val="00337162"/>
    <w:rsid w:val="00337363"/>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16D0"/>
    <w:rsid w:val="003C3C27"/>
    <w:rsid w:val="003C54DA"/>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147B"/>
    <w:rsid w:val="003F23D3"/>
    <w:rsid w:val="003F3F08"/>
    <w:rsid w:val="003F454A"/>
    <w:rsid w:val="003F49F1"/>
    <w:rsid w:val="003F5222"/>
    <w:rsid w:val="003F6272"/>
    <w:rsid w:val="00400E72"/>
    <w:rsid w:val="00401400"/>
    <w:rsid w:val="00404869"/>
    <w:rsid w:val="00405884"/>
    <w:rsid w:val="00407D39"/>
    <w:rsid w:val="004106B8"/>
    <w:rsid w:val="0041477A"/>
    <w:rsid w:val="004167A3"/>
    <w:rsid w:val="00417980"/>
    <w:rsid w:val="00432DAA"/>
    <w:rsid w:val="00434305"/>
    <w:rsid w:val="00435DF7"/>
    <w:rsid w:val="0044083F"/>
    <w:rsid w:val="00441AE7"/>
    <w:rsid w:val="00445574"/>
    <w:rsid w:val="004467FB"/>
    <w:rsid w:val="00450EC9"/>
    <w:rsid w:val="00452D6B"/>
    <w:rsid w:val="00454484"/>
    <w:rsid w:val="0045517B"/>
    <w:rsid w:val="004601C9"/>
    <w:rsid w:val="00463B77"/>
    <w:rsid w:val="00463C7B"/>
    <w:rsid w:val="004644A6"/>
    <w:rsid w:val="004659BD"/>
    <w:rsid w:val="00465F08"/>
    <w:rsid w:val="00470775"/>
    <w:rsid w:val="004712F4"/>
    <w:rsid w:val="004730A5"/>
    <w:rsid w:val="004746B1"/>
    <w:rsid w:val="0047583F"/>
    <w:rsid w:val="00475DE8"/>
    <w:rsid w:val="00481C44"/>
    <w:rsid w:val="00484936"/>
    <w:rsid w:val="00485C89"/>
    <w:rsid w:val="00486BE3"/>
    <w:rsid w:val="004905E4"/>
    <w:rsid w:val="00490A89"/>
    <w:rsid w:val="00490AB4"/>
    <w:rsid w:val="00492F02"/>
    <w:rsid w:val="004939AE"/>
    <w:rsid w:val="00495682"/>
    <w:rsid w:val="004A12DF"/>
    <w:rsid w:val="004A17E6"/>
    <w:rsid w:val="004A1BA8"/>
    <w:rsid w:val="004A4B57"/>
    <w:rsid w:val="004A61CF"/>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4492"/>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6B3"/>
    <w:rsid w:val="00524B5D"/>
    <w:rsid w:val="00524D65"/>
    <w:rsid w:val="00525B16"/>
    <w:rsid w:val="00533D04"/>
    <w:rsid w:val="0053439C"/>
    <w:rsid w:val="00534804"/>
    <w:rsid w:val="00534BDF"/>
    <w:rsid w:val="005354EA"/>
    <w:rsid w:val="0053585F"/>
    <w:rsid w:val="00535EC4"/>
    <w:rsid w:val="00535ED9"/>
    <w:rsid w:val="0053692B"/>
    <w:rsid w:val="00541853"/>
    <w:rsid w:val="00543BDA"/>
    <w:rsid w:val="005441CC"/>
    <w:rsid w:val="0054775F"/>
    <w:rsid w:val="005479DA"/>
    <w:rsid w:val="00547BCC"/>
    <w:rsid w:val="0055013B"/>
    <w:rsid w:val="00551F6F"/>
    <w:rsid w:val="00555044"/>
    <w:rsid w:val="00561475"/>
    <w:rsid w:val="0056487B"/>
    <w:rsid w:val="00564FB9"/>
    <w:rsid w:val="00570499"/>
    <w:rsid w:val="005719AB"/>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ABE"/>
    <w:rsid w:val="005F0D9C"/>
    <w:rsid w:val="005F284E"/>
    <w:rsid w:val="005F4712"/>
    <w:rsid w:val="006015CE"/>
    <w:rsid w:val="0060374A"/>
    <w:rsid w:val="00604047"/>
    <w:rsid w:val="00604784"/>
    <w:rsid w:val="00606419"/>
    <w:rsid w:val="00607D29"/>
    <w:rsid w:val="0061137E"/>
    <w:rsid w:val="00612952"/>
    <w:rsid w:val="00614CC1"/>
    <w:rsid w:val="00615A9D"/>
    <w:rsid w:val="00617387"/>
    <w:rsid w:val="006205D6"/>
    <w:rsid w:val="006221D5"/>
    <w:rsid w:val="006252D8"/>
    <w:rsid w:val="006259BC"/>
    <w:rsid w:val="0062636B"/>
    <w:rsid w:val="00632182"/>
    <w:rsid w:val="00632AE0"/>
    <w:rsid w:val="00633C17"/>
    <w:rsid w:val="00634D9E"/>
    <w:rsid w:val="006356DF"/>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041C"/>
    <w:rsid w:val="0069334D"/>
    <w:rsid w:val="00695D22"/>
    <w:rsid w:val="006A07AA"/>
    <w:rsid w:val="006A25E5"/>
    <w:rsid w:val="006A2B46"/>
    <w:rsid w:val="006A336D"/>
    <w:rsid w:val="006A37B9"/>
    <w:rsid w:val="006B2672"/>
    <w:rsid w:val="006B2802"/>
    <w:rsid w:val="006B4651"/>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3E5D"/>
    <w:rsid w:val="00704387"/>
    <w:rsid w:val="00707669"/>
    <w:rsid w:val="00711CBA"/>
    <w:rsid w:val="00711FB5"/>
    <w:rsid w:val="00712A01"/>
    <w:rsid w:val="00714F58"/>
    <w:rsid w:val="00720842"/>
    <w:rsid w:val="0072150B"/>
    <w:rsid w:val="00722FBF"/>
    <w:rsid w:val="00722FC2"/>
    <w:rsid w:val="00724879"/>
    <w:rsid w:val="00724E1B"/>
    <w:rsid w:val="00725949"/>
    <w:rsid w:val="00727FA2"/>
    <w:rsid w:val="00731AA1"/>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A1A"/>
    <w:rsid w:val="00765C43"/>
    <w:rsid w:val="00765EFB"/>
    <w:rsid w:val="007671CA"/>
    <w:rsid w:val="00767C61"/>
    <w:rsid w:val="0077008A"/>
    <w:rsid w:val="00773C1F"/>
    <w:rsid w:val="00774DA4"/>
    <w:rsid w:val="00776599"/>
    <w:rsid w:val="0078114B"/>
    <w:rsid w:val="00781DD2"/>
    <w:rsid w:val="00783ECF"/>
    <w:rsid w:val="0078413A"/>
    <w:rsid w:val="00787A2C"/>
    <w:rsid w:val="007959E8"/>
    <w:rsid w:val="00795E9C"/>
    <w:rsid w:val="007A0521"/>
    <w:rsid w:val="007A2E12"/>
    <w:rsid w:val="007A3475"/>
    <w:rsid w:val="007A41C8"/>
    <w:rsid w:val="007A4425"/>
    <w:rsid w:val="007A54CE"/>
    <w:rsid w:val="007A6FD9"/>
    <w:rsid w:val="007A7FFA"/>
    <w:rsid w:val="007B04EB"/>
    <w:rsid w:val="007B0D4F"/>
    <w:rsid w:val="007B3E18"/>
    <w:rsid w:val="007B5A3D"/>
    <w:rsid w:val="007B5B95"/>
    <w:rsid w:val="007B68EA"/>
    <w:rsid w:val="007B71D1"/>
    <w:rsid w:val="007B7453"/>
    <w:rsid w:val="007C1E8B"/>
    <w:rsid w:val="007C2D89"/>
    <w:rsid w:val="007C4593"/>
    <w:rsid w:val="007C5309"/>
    <w:rsid w:val="007C6069"/>
    <w:rsid w:val="007C7715"/>
    <w:rsid w:val="007D06C4"/>
    <w:rsid w:val="007D1352"/>
    <w:rsid w:val="007D2508"/>
    <w:rsid w:val="007D346A"/>
    <w:rsid w:val="007D6518"/>
    <w:rsid w:val="007D76BD"/>
    <w:rsid w:val="007E0BF1"/>
    <w:rsid w:val="007F06A9"/>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681"/>
    <w:rsid w:val="00820948"/>
    <w:rsid w:val="008209E6"/>
    <w:rsid w:val="00823303"/>
    <w:rsid w:val="008233B2"/>
    <w:rsid w:val="00823A9F"/>
    <w:rsid w:val="00823C85"/>
    <w:rsid w:val="00825138"/>
    <w:rsid w:val="00826720"/>
    <w:rsid w:val="008269DD"/>
    <w:rsid w:val="00830621"/>
    <w:rsid w:val="0083348C"/>
    <w:rsid w:val="00834BFA"/>
    <w:rsid w:val="008373D3"/>
    <w:rsid w:val="00840617"/>
    <w:rsid w:val="00840F84"/>
    <w:rsid w:val="00842A47"/>
    <w:rsid w:val="00843C13"/>
    <w:rsid w:val="008454F8"/>
    <w:rsid w:val="00845534"/>
    <w:rsid w:val="0085173A"/>
    <w:rsid w:val="008532C5"/>
    <w:rsid w:val="00856316"/>
    <w:rsid w:val="008603CE"/>
    <w:rsid w:val="008620FC"/>
    <w:rsid w:val="008627A5"/>
    <w:rsid w:val="00863E05"/>
    <w:rsid w:val="00865ACA"/>
    <w:rsid w:val="00865D28"/>
    <w:rsid w:val="00865F85"/>
    <w:rsid w:val="00867C10"/>
    <w:rsid w:val="00870439"/>
    <w:rsid w:val="00870DA1"/>
    <w:rsid w:val="00876253"/>
    <w:rsid w:val="00883F93"/>
    <w:rsid w:val="00884DB3"/>
    <w:rsid w:val="00884EE0"/>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454E"/>
    <w:rsid w:val="008A57E6"/>
    <w:rsid w:val="008A6F81"/>
    <w:rsid w:val="008A769A"/>
    <w:rsid w:val="008B0C9C"/>
    <w:rsid w:val="008B166D"/>
    <w:rsid w:val="008B17F4"/>
    <w:rsid w:val="008B3615"/>
    <w:rsid w:val="008B4AC4"/>
    <w:rsid w:val="008B50C8"/>
    <w:rsid w:val="008B5281"/>
    <w:rsid w:val="008B7E05"/>
    <w:rsid w:val="008C1090"/>
    <w:rsid w:val="008C1797"/>
    <w:rsid w:val="008C219C"/>
    <w:rsid w:val="008C475E"/>
    <w:rsid w:val="008C619A"/>
    <w:rsid w:val="008D0A34"/>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0F2A"/>
    <w:rsid w:val="00902722"/>
    <w:rsid w:val="009027BC"/>
    <w:rsid w:val="00905FCA"/>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14A"/>
    <w:rsid w:val="0095496B"/>
    <w:rsid w:val="0096012C"/>
    <w:rsid w:val="009610DC"/>
    <w:rsid w:val="00961490"/>
    <w:rsid w:val="0096381A"/>
    <w:rsid w:val="00965E04"/>
    <w:rsid w:val="009674AD"/>
    <w:rsid w:val="00970CDC"/>
    <w:rsid w:val="00977010"/>
    <w:rsid w:val="00977D02"/>
    <w:rsid w:val="009809BB"/>
    <w:rsid w:val="0098250A"/>
    <w:rsid w:val="0098364B"/>
    <w:rsid w:val="009911AF"/>
    <w:rsid w:val="00991875"/>
    <w:rsid w:val="00991F92"/>
    <w:rsid w:val="00992985"/>
    <w:rsid w:val="00993889"/>
    <w:rsid w:val="0099551B"/>
    <w:rsid w:val="00997BF1"/>
    <w:rsid w:val="009A089C"/>
    <w:rsid w:val="009A118E"/>
    <w:rsid w:val="009A21CD"/>
    <w:rsid w:val="009A278C"/>
    <w:rsid w:val="009A2897"/>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292"/>
    <w:rsid w:val="009D47FA"/>
    <w:rsid w:val="009D4C5B"/>
    <w:rsid w:val="009D50D2"/>
    <w:rsid w:val="009D6BCA"/>
    <w:rsid w:val="009E0F62"/>
    <w:rsid w:val="009E1BEE"/>
    <w:rsid w:val="009E3D1C"/>
    <w:rsid w:val="009E471F"/>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18B4"/>
    <w:rsid w:val="00A55BD6"/>
    <w:rsid w:val="00A55D50"/>
    <w:rsid w:val="00A57142"/>
    <w:rsid w:val="00A648CD"/>
    <w:rsid w:val="00A6537A"/>
    <w:rsid w:val="00A67866"/>
    <w:rsid w:val="00A70B07"/>
    <w:rsid w:val="00A723F8"/>
    <w:rsid w:val="00A72C1F"/>
    <w:rsid w:val="00A77CCB"/>
    <w:rsid w:val="00A83D8D"/>
    <w:rsid w:val="00A8446B"/>
    <w:rsid w:val="00A8473F"/>
    <w:rsid w:val="00A862D6"/>
    <w:rsid w:val="00A8715E"/>
    <w:rsid w:val="00A91D85"/>
    <w:rsid w:val="00A925BF"/>
    <w:rsid w:val="00A9295B"/>
    <w:rsid w:val="00A93AB2"/>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67AC"/>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3BE"/>
    <w:rsid w:val="00B4346D"/>
    <w:rsid w:val="00B440F4"/>
    <w:rsid w:val="00B447A5"/>
    <w:rsid w:val="00B4654C"/>
    <w:rsid w:val="00B46AF0"/>
    <w:rsid w:val="00B47293"/>
    <w:rsid w:val="00B50E50"/>
    <w:rsid w:val="00B52120"/>
    <w:rsid w:val="00B54ABC"/>
    <w:rsid w:val="00B54DDE"/>
    <w:rsid w:val="00B56FBE"/>
    <w:rsid w:val="00B60ACF"/>
    <w:rsid w:val="00B61E28"/>
    <w:rsid w:val="00B62B58"/>
    <w:rsid w:val="00B65149"/>
    <w:rsid w:val="00B66567"/>
    <w:rsid w:val="00B66F52"/>
    <w:rsid w:val="00B66FE5"/>
    <w:rsid w:val="00B72880"/>
    <w:rsid w:val="00B758BF"/>
    <w:rsid w:val="00B75C8D"/>
    <w:rsid w:val="00B77EC8"/>
    <w:rsid w:val="00B800D6"/>
    <w:rsid w:val="00B827A6"/>
    <w:rsid w:val="00B831CE"/>
    <w:rsid w:val="00B8328D"/>
    <w:rsid w:val="00B83DDC"/>
    <w:rsid w:val="00B86677"/>
    <w:rsid w:val="00B87131"/>
    <w:rsid w:val="00B939B1"/>
    <w:rsid w:val="00B9535B"/>
    <w:rsid w:val="00B96D40"/>
    <w:rsid w:val="00B97386"/>
    <w:rsid w:val="00B97B40"/>
    <w:rsid w:val="00BA263B"/>
    <w:rsid w:val="00BA42B2"/>
    <w:rsid w:val="00BA58D4"/>
    <w:rsid w:val="00BA5B9E"/>
    <w:rsid w:val="00BA64F6"/>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DD9"/>
    <w:rsid w:val="00C25FE2"/>
    <w:rsid w:val="00C26B53"/>
    <w:rsid w:val="00C279B2"/>
    <w:rsid w:val="00C3322E"/>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55F3"/>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05C3"/>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15079"/>
    <w:rsid w:val="00D20737"/>
    <w:rsid w:val="00D21E81"/>
    <w:rsid w:val="00D223DE"/>
    <w:rsid w:val="00D25E37"/>
    <w:rsid w:val="00D2661A"/>
    <w:rsid w:val="00D27582"/>
    <w:rsid w:val="00D27B80"/>
    <w:rsid w:val="00D27EC4"/>
    <w:rsid w:val="00D32719"/>
    <w:rsid w:val="00D33333"/>
    <w:rsid w:val="00D33457"/>
    <w:rsid w:val="00D352A2"/>
    <w:rsid w:val="00D3660F"/>
    <w:rsid w:val="00D37E5C"/>
    <w:rsid w:val="00D4162B"/>
    <w:rsid w:val="00D4514F"/>
    <w:rsid w:val="00D451E2"/>
    <w:rsid w:val="00D45E89"/>
    <w:rsid w:val="00D45E8D"/>
    <w:rsid w:val="00D466AE"/>
    <w:rsid w:val="00D4734F"/>
    <w:rsid w:val="00D51BF3"/>
    <w:rsid w:val="00D548D1"/>
    <w:rsid w:val="00D56A76"/>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328"/>
    <w:rsid w:val="00DD6BCC"/>
    <w:rsid w:val="00DE0A4B"/>
    <w:rsid w:val="00DE2410"/>
    <w:rsid w:val="00DE2939"/>
    <w:rsid w:val="00DE6E81"/>
    <w:rsid w:val="00DE703F"/>
    <w:rsid w:val="00DE7595"/>
    <w:rsid w:val="00DF1961"/>
    <w:rsid w:val="00DF295D"/>
    <w:rsid w:val="00DF44DE"/>
    <w:rsid w:val="00DF5F11"/>
    <w:rsid w:val="00E01096"/>
    <w:rsid w:val="00E01138"/>
    <w:rsid w:val="00E02DFB"/>
    <w:rsid w:val="00E030F9"/>
    <w:rsid w:val="00E0311A"/>
    <w:rsid w:val="00E03138"/>
    <w:rsid w:val="00E037AF"/>
    <w:rsid w:val="00E06404"/>
    <w:rsid w:val="00E065D2"/>
    <w:rsid w:val="00E11A85"/>
    <w:rsid w:val="00E12495"/>
    <w:rsid w:val="00E15CCD"/>
    <w:rsid w:val="00E202EF"/>
    <w:rsid w:val="00E210B5"/>
    <w:rsid w:val="00E23D99"/>
    <w:rsid w:val="00E25433"/>
    <w:rsid w:val="00E2552F"/>
    <w:rsid w:val="00E3137A"/>
    <w:rsid w:val="00E32CCF"/>
    <w:rsid w:val="00E34A98"/>
    <w:rsid w:val="00E35D1E"/>
    <w:rsid w:val="00E364F9"/>
    <w:rsid w:val="00E365FA"/>
    <w:rsid w:val="00E36789"/>
    <w:rsid w:val="00E3760D"/>
    <w:rsid w:val="00E44A83"/>
    <w:rsid w:val="00E502C1"/>
    <w:rsid w:val="00E502DD"/>
    <w:rsid w:val="00E50D3A"/>
    <w:rsid w:val="00E51387"/>
    <w:rsid w:val="00E51E68"/>
    <w:rsid w:val="00E51EB7"/>
    <w:rsid w:val="00E522B4"/>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814"/>
    <w:rsid w:val="00E84957"/>
    <w:rsid w:val="00E84A55"/>
    <w:rsid w:val="00E85BFF"/>
    <w:rsid w:val="00E90391"/>
    <w:rsid w:val="00E906C2"/>
    <w:rsid w:val="00E92020"/>
    <w:rsid w:val="00E9311F"/>
    <w:rsid w:val="00E934D1"/>
    <w:rsid w:val="00E94AF0"/>
    <w:rsid w:val="00E95D13"/>
    <w:rsid w:val="00E95DD3"/>
    <w:rsid w:val="00E969D5"/>
    <w:rsid w:val="00E96A48"/>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553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1CA4"/>
    <w:rsid w:val="00F56511"/>
    <w:rsid w:val="00F6194E"/>
    <w:rsid w:val="00F623AC"/>
    <w:rsid w:val="00F6412A"/>
    <w:rsid w:val="00F65893"/>
    <w:rsid w:val="00F66A4A"/>
    <w:rsid w:val="00F71E22"/>
    <w:rsid w:val="00F72142"/>
    <w:rsid w:val="00F726BB"/>
    <w:rsid w:val="00F72AE7"/>
    <w:rsid w:val="00F81141"/>
    <w:rsid w:val="00F833BA"/>
    <w:rsid w:val="00F84FD0"/>
    <w:rsid w:val="00F859A8"/>
    <w:rsid w:val="00F86D87"/>
    <w:rsid w:val="00F9108B"/>
    <w:rsid w:val="00F91349"/>
    <w:rsid w:val="00F93A8A"/>
    <w:rsid w:val="00F95248"/>
    <w:rsid w:val="00F9539E"/>
    <w:rsid w:val="00F956A9"/>
    <w:rsid w:val="00F963ED"/>
    <w:rsid w:val="00F966CF"/>
    <w:rsid w:val="00F96CAE"/>
    <w:rsid w:val="00F97C99"/>
    <w:rsid w:val="00FA4DAC"/>
    <w:rsid w:val="00FA61F7"/>
    <w:rsid w:val="00FA662D"/>
    <w:rsid w:val="00FA73B1"/>
    <w:rsid w:val="00FA77A8"/>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C54B55"/>
    <w:rsid w:val="027345B1"/>
    <w:rsid w:val="03FA6D38"/>
    <w:rsid w:val="052851DF"/>
    <w:rsid w:val="06071754"/>
    <w:rsid w:val="091411F8"/>
    <w:rsid w:val="0CBF7E83"/>
    <w:rsid w:val="0D103128"/>
    <w:rsid w:val="0FC1070A"/>
    <w:rsid w:val="111D5E14"/>
    <w:rsid w:val="11E64458"/>
    <w:rsid w:val="13535697"/>
    <w:rsid w:val="14653997"/>
    <w:rsid w:val="148461AA"/>
    <w:rsid w:val="1ADC6D40"/>
    <w:rsid w:val="1C213AF4"/>
    <w:rsid w:val="1D666D95"/>
    <w:rsid w:val="1E1862E1"/>
    <w:rsid w:val="221E5B15"/>
    <w:rsid w:val="224E57AC"/>
    <w:rsid w:val="24596D0B"/>
    <w:rsid w:val="282910EA"/>
    <w:rsid w:val="28911DF6"/>
    <w:rsid w:val="2943109B"/>
    <w:rsid w:val="2A2C32FD"/>
    <w:rsid w:val="2A8E16D9"/>
    <w:rsid w:val="2C332C9C"/>
    <w:rsid w:val="2D6D7CCB"/>
    <w:rsid w:val="2EEB70FA"/>
    <w:rsid w:val="2F3D71A1"/>
    <w:rsid w:val="35501721"/>
    <w:rsid w:val="36A71C07"/>
    <w:rsid w:val="3C90308E"/>
    <w:rsid w:val="3CD6578E"/>
    <w:rsid w:val="3F2226C4"/>
    <w:rsid w:val="48C20A74"/>
    <w:rsid w:val="498A140A"/>
    <w:rsid w:val="4C327CBE"/>
    <w:rsid w:val="4E0D09E3"/>
    <w:rsid w:val="4EA65CC9"/>
    <w:rsid w:val="54D2203E"/>
    <w:rsid w:val="55102B67"/>
    <w:rsid w:val="56FE4611"/>
    <w:rsid w:val="592866D1"/>
    <w:rsid w:val="5D022A60"/>
    <w:rsid w:val="5D8E0C97"/>
    <w:rsid w:val="60235E44"/>
    <w:rsid w:val="60911000"/>
    <w:rsid w:val="625C563D"/>
    <w:rsid w:val="628A3F58"/>
    <w:rsid w:val="641461CF"/>
    <w:rsid w:val="64A55079"/>
    <w:rsid w:val="65F91B21"/>
    <w:rsid w:val="679C6C08"/>
    <w:rsid w:val="680447AD"/>
    <w:rsid w:val="6958777A"/>
    <w:rsid w:val="695B21AB"/>
    <w:rsid w:val="69DF4B8A"/>
    <w:rsid w:val="6BD36970"/>
    <w:rsid w:val="6C3A254B"/>
    <w:rsid w:val="6F535138"/>
    <w:rsid w:val="70207CAA"/>
    <w:rsid w:val="71BF35F9"/>
    <w:rsid w:val="75066682"/>
    <w:rsid w:val="77FE1CAC"/>
    <w:rsid w:val="78000AED"/>
    <w:rsid w:val="79705A36"/>
    <w:rsid w:val="7C06244A"/>
    <w:rsid w:val="7C372603"/>
    <w:rsid w:val="7C6D24C9"/>
    <w:rsid w:val="7F0627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autoRedefine/>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autoRedefine/>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autoRedefine/>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autoRedefine/>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autoRedefine/>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autoRedefine/>
    <w:qFormat/>
    <w:uiPriority w:val="22"/>
    <w:rPr>
      <w:b/>
      <w:bCs/>
    </w:rPr>
  </w:style>
  <w:style w:type="character" w:styleId="30">
    <w:name w:val="page number"/>
    <w:autoRedefine/>
    <w:qFormat/>
    <w:uiPriority w:val="0"/>
    <w:rPr>
      <w:rFonts w:ascii="宋体" w:hAnsi="Times New Roman" w:eastAsia="宋体"/>
      <w:sz w:val="18"/>
    </w:rPr>
  </w:style>
  <w:style w:type="character" w:styleId="31">
    <w:name w:val="Emphasis"/>
    <w:qFormat/>
    <w:uiPriority w:val="20"/>
    <w:rPr>
      <w:i/>
      <w:iCs/>
    </w:rPr>
  </w:style>
  <w:style w:type="character" w:styleId="32">
    <w:name w:val="Hyperlink"/>
    <w:autoRedefine/>
    <w:qFormat/>
    <w:uiPriority w:val="99"/>
    <w:rPr>
      <w:rFonts w:ascii="宋体" w:hAnsi="Times New Roman" w:eastAsia="宋体"/>
      <w:color w:val="auto"/>
      <w:spacing w:val="0"/>
      <w:w w:val="100"/>
      <w:position w:val="0"/>
      <w:sz w:val="21"/>
      <w:u w:val="none"/>
      <w:vertAlign w:val="baseline"/>
    </w:rPr>
  </w:style>
  <w:style w:type="character" w:styleId="33">
    <w:name w:val="footnote reference"/>
    <w:autoRedefin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autoRedefine/>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autoRedefine/>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autoRedefine/>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autoRedefine/>
    <w:qFormat/>
    <w:uiPriority w:val="99"/>
    <w:rPr>
      <w:kern w:val="2"/>
      <w:sz w:val="18"/>
      <w:szCs w:val="18"/>
    </w:rPr>
  </w:style>
  <w:style w:type="character" w:customStyle="1" w:styleId="44">
    <w:name w:val="页脚 字符"/>
    <w:link w:val="17"/>
    <w:autoRedefine/>
    <w:qFormat/>
    <w:uiPriority w:val="99"/>
    <w:rPr>
      <w:rFonts w:ascii="宋体"/>
      <w:kern w:val="2"/>
      <w:sz w:val="18"/>
      <w:szCs w:val="18"/>
    </w:rPr>
  </w:style>
  <w:style w:type="character" w:customStyle="1" w:styleId="45">
    <w:name w:val="批注框文本 字符"/>
    <w:link w:val="16"/>
    <w:autoRedefine/>
    <w:semiHidden/>
    <w:qFormat/>
    <w:uiPriority w:val="99"/>
    <w:rPr>
      <w:kern w:val="2"/>
      <w:sz w:val="18"/>
      <w:szCs w:val="18"/>
    </w:rPr>
  </w:style>
  <w:style w:type="paragraph" w:styleId="46">
    <w:name w:val="Quote"/>
    <w:basedOn w:val="1"/>
    <w:next w:val="1"/>
    <w:link w:val="47"/>
    <w:autoRedefine/>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autoRedefine/>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autoRedefine/>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autoRedefine/>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autoRedefine/>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autoRedefine/>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autoRedefine/>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autoRedefine/>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autoRedefine/>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autoRedefine/>
    <w:qFormat/>
    <w:uiPriority w:val="0"/>
    <w:pPr>
      <w:spacing w:line="240" w:lineRule="auto"/>
      <w:jc w:val="center"/>
    </w:pPr>
    <w:rPr>
      <w:rFonts w:ascii="黑体" w:eastAsia="黑体"/>
      <w:kern w:val="0"/>
      <w:sz w:val="52"/>
    </w:rPr>
  </w:style>
  <w:style w:type="paragraph" w:customStyle="1" w:styleId="71">
    <w:name w:val="标准文件_封面标准英文名称"/>
    <w:basedOn w:val="1"/>
    <w:autoRedefine/>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autoRedefine/>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autoRedefine/>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autoRedefine/>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ind w:left="2127"/>
      <w:textAlignment w:val="baseline"/>
      <w:outlineLvl w:val="3"/>
    </w:pPr>
  </w:style>
  <w:style w:type="paragraph" w:customStyle="1" w:styleId="80">
    <w:name w:val="标准文件_附录公式"/>
    <w:basedOn w:val="55"/>
    <w:next w:val="55"/>
    <w:autoRedefine/>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ind w:left="1418"/>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autoRedefine/>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autoRedefine/>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autoRedefine/>
    <w:qFormat/>
    <w:uiPriority w:val="0"/>
    <w:rPr>
      <w:kern w:val="2"/>
      <w:sz w:val="21"/>
      <w:szCs w:val="21"/>
    </w:rPr>
  </w:style>
  <w:style w:type="paragraph" w:customStyle="1" w:styleId="87">
    <w:name w:val="标准文件_附录章标题"/>
    <w:next w:val="56"/>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autoRedefine/>
    <w:qFormat/>
    <w:uiPriority w:val="0"/>
    <w:pPr>
      <w:ind w:left="488" w:leftChars="200" w:hanging="289" w:hangingChars="290"/>
    </w:pPr>
  </w:style>
  <w:style w:type="paragraph" w:customStyle="1" w:styleId="89">
    <w:name w:val="标准文件_前言、引言标题"/>
    <w:next w:val="1"/>
    <w:autoRedefine/>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autoRedefine/>
    <w:qFormat/>
    <w:uiPriority w:val="0"/>
    <w:pPr>
      <w:spacing w:line="460" w:lineRule="exact"/>
      <w:ind w:left="0" w:firstLine="0"/>
    </w:pPr>
  </w:style>
  <w:style w:type="paragraph" w:customStyle="1" w:styleId="91">
    <w:name w:val="标准文件_目录标题"/>
    <w:basedOn w:val="1"/>
    <w:autoRedefine/>
    <w:qFormat/>
    <w:uiPriority w:val="0"/>
    <w:pPr>
      <w:spacing w:before="480" w:after="150" w:afterLines="150" w:line="240" w:lineRule="auto"/>
      <w:jc w:val="center"/>
    </w:pPr>
    <w:rPr>
      <w:rFonts w:ascii="黑体" w:eastAsia="黑体"/>
      <w:sz w:val="32"/>
    </w:rPr>
  </w:style>
  <w:style w:type="paragraph" w:customStyle="1" w:styleId="92">
    <w:name w:val="标准文件_破折号列项"/>
    <w:autoRedefine/>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autoRedefine/>
    <w:qFormat/>
    <w:uiPriority w:val="0"/>
    <w:pPr>
      <w:numPr>
        <w:numId w:val="10"/>
      </w:numPr>
    </w:pPr>
  </w:style>
  <w:style w:type="paragraph" w:customStyle="1" w:styleId="94">
    <w:name w:val="标准文件_三级条标题"/>
    <w:basedOn w:val="65"/>
    <w:next w:val="56"/>
    <w:autoRedefine/>
    <w:qFormat/>
    <w:uiPriority w:val="0"/>
    <w:pPr>
      <w:widowControl/>
      <w:numPr>
        <w:ilvl w:val="4"/>
      </w:numPr>
      <w:outlineLvl w:val="3"/>
    </w:pPr>
  </w:style>
  <w:style w:type="character" w:customStyle="1" w:styleId="95">
    <w:name w:val="不明显参考1"/>
    <w:autoRedefine/>
    <w:qFormat/>
    <w:uiPriority w:val="31"/>
    <w:rPr>
      <w:smallCaps/>
      <w:color w:val="C0504D"/>
      <w:u w:val="single"/>
    </w:rPr>
  </w:style>
  <w:style w:type="paragraph" w:customStyle="1" w:styleId="96">
    <w:name w:val="标准文件_示例后续"/>
    <w:basedOn w:val="1"/>
    <w:autoRedefine/>
    <w:qFormat/>
    <w:uiPriority w:val="0"/>
    <w:pPr>
      <w:adjustRightInd/>
      <w:spacing w:line="240" w:lineRule="auto"/>
      <w:ind w:firstLine="200" w:firstLineChars="200"/>
    </w:pPr>
    <w:rPr>
      <w:sz w:val="18"/>
      <w:szCs w:val="24"/>
    </w:rPr>
  </w:style>
  <w:style w:type="paragraph" w:customStyle="1" w:styleId="97">
    <w:name w:val="标准文件_数字编号列项"/>
    <w:autoRedefine/>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autoRedefine/>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autoRedefine/>
    <w:semiHidden/>
    <w:qFormat/>
    <w:uiPriority w:val="0"/>
    <w:rPr>
      <w:rFonts w:ascii="宋体"/>
      <w:kern w:val="2"/>
      <w:sz w:val="18"/>
      <w:szCs w:val="18"/>
    </w:rPr>
  </w:style>
  <w:style w:type="paragraph" w:customStyle="1" w:styleId="100">
    <w:name w:val="标准文件_条文脚注"/>
    <w:basedOn w:val="21"/>
    <w:autoRedefine/>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autoRedefine/>
    <w:qFormat/>
    <w:uiPriority w:val="0"/>
    <w:pPr>
      <w:numPr>
        <w:ilvl w:val="0"/>
        <w:numId w:val="12"/>
      </w:numPr>
      <w:spacing w:line="240" w:lineRule="auto"/>
      <w:jc w:val="left"/>
    </w:pPr>
    <w:rPr>
      <w:rFonts w:ascii="宋体" w:hAnsi="宋体"/>
      <w:sz w:val="18"/>
    </w:rPr>
  </w:style>
  <w:style w:type="character" w:customStyle="1" w:styleId="102">
    <w:name w:val="标准文件_图表脚注内容"/>
    <w:autoRedefine/>
    <w:qFormat/>
    <w:uiPriority w:val="0"/>
    <w:rPr>
      <w:rFonts w:ascii="宋体" w:hAnsi="宋体" w:eastAsia="宋体" w:cs="Times New Roman"/>
      <w:spacing w:val="0"/>
      <w:sz w:val="18"/>
      <w:vertAlign w:val="superscript"/>
    </w:rPr>
  </w:style>
  <w:style w:type="paragraph" w:customStyle="1" w:styleId="103">
    <w:name w:val="标准文件_五级条标题"/>
    <w:next w:val="56"/>
    <w:autoRedefine/>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autoRedefine/>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autoRedefine/>
    <w:qFormat/>
    <w:uiPriority w:val="0"/>
    <w:pPr>
      <w:numPr>
        <w:ilvl w:val="2"/>
      </w:numPr>
      <w:spacing w:before="50" w:beforeLines="50" w:after="50" w:afterLines="50"/>
      <w:outlineLvl w:val="1"/>
    </w:pPr>
  </w:style>
  <w:style w:type="paragraph" w:customStyle="1" w:styleId="106">
    <w:name w:val="标准文件_一致程度"/>
    <w:basedOn w:val="1"/>
    <w:autoRedefine/>
    <w:qFormat/>
    <w:uiPriority w:val="0"/>
    <w:pPr>
      <w:spacing w:line="440" w:lineRule="exact"/>
      <w:jc w:val="center"/>
    </w:pPr>
    <w:rPr>
      <w:sz w:val="28"/>
    </w:rPr>
  </w:style>
  <w:style w:type="paragraph" w:customStyle="1" w:styleId="107">
    <w:name w:val="标准文件_引言标题"/>
    <w:next w:val="1"/>
    <w:autoRedefine/>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autoRedefine/>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autoRedefine/>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0">
    <w:name w:val="标准文件_英文注："/>
    <w:basedOn w:val="1"/>
    <w:next w:val="56"/>
    <w:autoRedefine/>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autoRedefine/>
    <w:qFormat/>
    <w:uiPriority w:val="0"/>
    <w:pPr>
      <w:numPr>
        <w:ilvl w:val="0"/>
        <w:numId w:val="15"/>
      </w:numPr>
      <w:tabs>
        <w:tab w:val="left" w:pos="210"/>
        <w:tab w:val="left" w:pos="851"/>
        <w:tab w:val="clear" w:pos="760"/>
      </w:tabs>
      <w:autoSpaceDE w:val="0"/>
      <w:autoSpaceDN w:val="0"/>
      <w:spacing w:line="240" w:lineRule="auto"/>
      <w:ind w:left="851" w:hanging="426"/>
    </w:pPr>
    <w:rPr>
      <w:rFonts w:ascii="宋体" w:hAnsi="宋体"/>
      <w:kern w:val="0"/>
      <w:szCs w:val="20"/>
    </w:rPr>
  </w:style>
  <w:style w:type="paragraph" w:customStyle="1" w:styleId="112">
    <w:name w:val="标准文件_正文表标题"/>
    <w:next w:val="56"/>
    <w:autoRedefine/>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autoRedefine/>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autoRedefine/>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autoRedefine/>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autoRedefine/>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autoRedefine/>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autoRedefine/>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autoRedefine/>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autoRedefine/>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autoRedefine/>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autoRedefine/>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autoRedefine/>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semiHidden/>
    <w:qFormat/>
    <w:uiPriority w:val="0"/>
    <w:pPr>
      <w:adjustRightInd/>
      <w:spacing w:line="240" w:lineRule="auto"/>
      <w:jc w:val="left"/>
    </w:pPr>
    <w:rPr>
      <w:bCs/>
      <w:iCs/>
    </w:rPr>
  </w:style>
  <w:style w:type="paragraph" w:customStyle="1" w:styleId="143">
    <w:name w:val="目录 31"/>
    <w:basedOn w:val="1"/>
    <w:next w:val="1"/>
    <w:semiHidden/>
    <w:qFormat/>
    <w:uiPriority w:val="0"/>
    <w:pPr>
      <w:spacing w:line="240" w:lineRule="auto"/>
    </w:pPr>
    <w:rPr>
      <w:rFonts w:ascii="宋体" w:hAnsi="宋体"/>
      <w:iCs/>
    </w:rPr>
  </w:style>
  <w:style w:type="paragraph" w:customStyle="1" w:styleId="144">
    <w:name w:val="目录 41"/>
    <w:basedOn w:val="1"/>
    <w:next w:val="1"/>
    <w:semiHidden/>
    <w:qFormat/>
    <w:uiPriority w:val="0"/>
    <w:pPr>
      <w:adjustRightInd/>
      <w:spacing w:line="240" w:lineRule="auto"/>
      <w:jc w:val="left"/>
    </w:pPr>
  </w:style>
  <w:style w:type="paragraph" w:customStyle="1" w:styleId="145">
    <w:name w:val="目录 51"/>
    <w:basedOn w:val="1"/>
    <w:next w:val="1"/>
    <w:semiHidden/>
    <w:qFormat/>
    <w:uiPriority w:val="0"/>
    <w:pPr>
      <w:spacing w:line="240" w:lineRule="auto"/>
    </w:pPr>
    <w:rPr>
      <w:rFonts w:ascii="宋体" w:hAnsi="宋体"/>
    </w:rPr>
  </w:style>
  <w:style w:type="paragraph" w:customStyle="1" w:styleId="146">
    <w:name w:val="目录 61"/>
    <w:basedOn w:val="1"/>
    <w:next w:val="1"/>
    <w:semiHidden/>
    <w:qFormat/>
    <w:uiPriority w:val="0"/>
    <w:pPr>
      <w:adjustRightInd/>
      <w:spacing w:line="240" w:lineRule="auto"/>
      <w:jc w:val="left"/>
    </w:pPr>
  </w:style>
  <w:style w:type="paragraph" w:customStyle="1" w:styleId="147">
    <w:name w:val="目录 71"/>
    <w:basedOn w:val="146"/>
    <w:semiHidden/>
    <w:qFormat/>
    <w:uiPriority w:val="0"/>
    <w:pPr>
      <w:ind w:left="1260"/>
    </w:pPr>
  </w:style>
  <w:style w:type="paragraph" w:customStyle="1" w:styleId="148">
    <w:name w:val="目录 81"/>
    <w:basedOn w:val="147"/>
    <w:semiHidden/>
    <w:qFormat/>
    <w:uiPriority w:val="0"/>
    <w:pPr>
      <w:ind w:left="1470"/>
    </w:pPr>
  </w:style>
  <w:style w:type="paragraph" w:customStyle="1" w:styleId="149">
    <w:name w:val="目录 91"/>
    <w:basedOn w:val="148"/>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autoRedefine/>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tabs>
        <w:tab w:val="clear" w:pos="851"/>
      </w:tabs>
      <w:ind w:left="0"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autoRedefine/>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autoRedefine/>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autoRedefine/>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autoRedefine/>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autoRedefine/>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autoRedefine/>
    <w:qFormat/>
    <w:uiPriority w:val="0"/>
    <w:pPr>
      <w:framePr w:w="3997" w:h="471" w:hRule="exact" w:hSpace="0" w:vSpace="181" w:wrap="around" w:vAnchor="page" w:hAnchor="page" w:x="1419" w:y="14097"/>
    </w:pPr>
  </w:style>
  <w:style w:type="paragraph" w:customStyle="1" w:styleId="194">
    <w:name w:val="其他实施日期"/>
    <w:basedOn w:val="154"/>
    <w:autoRedefine/>
    <w:qFormat/>
    <w:uiPriority w:val="0"/>
    <w:pPr>
      <w:framePr w:w="3997" w:h="471" w:hRule="exact" w:vSpace="181" w:wrap="around" w:vAnchor="page" w:hAnchor="page" w:x="7089" w:y="14097"/>
    </w:pPr>
  </w:style>
  <w:style w:type="paragraph" w:customStyle="1" w:styleId="195">
    <w:name w:val="标准文件_文件编号"/>
    <w:basedOn w:val="56"/>
    <w:autoRedefine/>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autoRedefine/>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autoRedefine/>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autoRedefine/>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autoRedefine/>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autoRedefine/>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autoRedefine/>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autoRedefine/>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autoRedefine/>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autoRedefine/>
    <w:qFormat/>
    <w:uiPriority w:val="0"/>
  </w:style>
  <w:style w:type="paragraph" w:customStyle="1" w:styleId="227">
    <w:name w:val="标准文件_术语条五"/>
    <w:basedOn w:val="163"/>
    <w:next w:val="56"/>
    <w:autoRedefine/>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autoRedefine/>
    <w:qFormat/>
    <w:uiPriority w:val="0"/>
    <w:rPr>
      <w:rFonts w:ascii="黑体" w:eastAsia="黑体"/>
      <w:spacing w:val="85"/>
      <w:w w:val="100"/>
      <w:position w:val="3"/>
      <w:sz w:val="28"/>
      <w:szCs w:val="28"/>
    </w:rPr>
  </w:style>
  <w:style w:type="paragraph" w:customStyle="1" w:styleId="230">
    <w:name w:val="正文1"/>
    <w:qFormat/>
    <w:uiPriority w:val="0"/>
    <w:pPr>
      <w:jc w:val="both"/>
    </w:pPr>
    <w:rPr>
      <w:rFonts w:ascii="Calibri" w:hAnsi="Calibri" w:eastAsia="宋体" w:cs="Calibri"/>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9" Type="http://schemas.openxmlformats.org/officeDocument/2006/relationships/glossaryDocument" Target="glossary/document.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chart" Target="charts/chart1.xml"/><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jpeg"/><Relationship Id="rId27" Type="http://schemas.openxmlformats.org/officeDocument/2006/relationships/image" Target="media/image11.png"/><Relationship Id="rId26" Type="http://schemas.openxmlformats.org/officeDocument/2006/relationships/image" Target="media/image10.emf"/><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emf"/><Relationship Id="rId22" Type="http://schemas.openxmlformats.org/officeDocument/2006/relationships/image" Target="media/image6.emf"/><Relationship Id="rId21" Type="http://schemas.openxmlformats.org/officeDocument/2006/relationships/image" Target="media/image5.emf"/><Relationship Id="rId20" Type="http://schemas.openxmlformats.org/officeDocument/2006/relationships/image" Target="media/image4.emf"/><Relationship Id="rId2" Type="http://schemas.openxmlformats.org/officeDocument/2006/relationships/settings" Target="settings.xml"/><Relationship Id="rId19" Type="http://schemas.openxmlformats.org/officeDocument/2006/relationships/image" Target="media/image3.jpeg"/><Relationship Id="rId18" Type="http://schemas.openxmlformats.org/officeDocument/2006/relationships/image" Target="media/image2.png"/><Relationship Id="rId17" Type="http://schemas.openxmlformats.org/officeDocument/2006/relationships/image" Target="media/image1.tiff"/><Relationship Id="rId16" Type="http://schemas.openxmlformats.org/officeDocument/2006/relationships/theme" Target="theme/theme1.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charts/_rels/chart1.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系列 1</c:v>
                </c:pt>
              </c:strCache>
            </c:strRef>
          </c:tx>
          <c:spPr>
            <a:ln w="31750" cap="rnd">
              <a:solidFill>
                <a:schemeClr val="accent1"/>
              </a:solidFill>
              <a:round/>
            </a:ln>
            <a:effectLst/>
          </c:spPr>
          <c:marker>
            <c:symbol val="circle"/>
            <c:size val="17"/>
            <c:spPr>
              <a:solidFill>
                <a:schemeClr val="accent1"/>
              </a:solidFill>
              <a:ln>
                <a:noFill/>
              </a:ln>
              <a:effectLst/>
            </c:spPr>
          </c:marker>
          <c:dLbls>
            <c:dLbl>
              <c:idx val="0"/>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50</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1"/>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75</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100</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3"/>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125</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4"/>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150</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5"/>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175</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dLbl>
              <c:idx val="6"/>
              <c:layout/>
              <c:tx>
                <c:rich>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r>
                      <a:rPr lang="en-US" altLang="zh-CN"/>
                      <a:t>200</a:t>
                    </a:r>
                    <a:endParaRPr lang="en-US" altLang="zh-CN"/>
                  </a:p>
                </c:rich>
              </c:tx>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Sheet1!$A$2:$A$8</c:f>
              <c:strCache>
                <c:ptCount val="7"/>
                <c:pt idx="0">
                  <c:v>10mm</c:v>
                </c:pt>
                <c:pt idx="1">
                  <c:v>20mm</c:v>
                </c:pt>
                <c:pt idx="2">
                  <c:v>30mm</c:v>
                </c:pt>
                <c:pt idx="3">
                  <c:v>40mm</c:v>
                </c:pt>
                <c:pt idx="4">
                  <c:v>50mm</c:v>
                </c:pt>
                <c:pt idx="5">
                  <c:v>60mm</c:v>
                </c:pt>
                <c:pt idx="6">
                  <c:v>70mm</c:v>
                </c:pt>
              </c:strCache>
            </c:strRef>
          </c:cat>
          <c:val>
            <c:numRef>
              <c:f>Sheet1!$B$2:$B$8</c:f>
              <c:numCache>
                <c:formatCode>General</c:formatCode>
                <c:ptCount val="7"/>
                <c:pt idx="0">
                  <c:v>20</c:v>
                </c:pt>
                <c:pt idx="1">
                  <c:v>30</c:v>
                </c:pt>
                <c:pt idx="2">
                  <c:v>40</c:v>
                </c:pt>
                <c:pt idx="3">
                  <c:v>50</c:v>
                </c:pt>
                <c:pt idx="4">
                  <c:v>60</c:v>
                </c:pt>
                <c:pt idx="5">
                  <c:v>70</c:v>
                </c:pt>
                <c:pt idx="6">
                  <c:v>80</c:v>
                </c:pt>
              </c:numCache>
            </c:numRef>
          </c:val>
          <c:smooth val="0"/>
        </c:ser>
        <c:dLbls>
          <c:showLegendKey val="0"/>
          <c:showVal val="1"/>
          <c:showCatName val="0"/>
          <c:showSerName val="0"/>
          <c:showPercent val="0"/>
          <c:showBubbleSize val="0"/>
        </c:dLbls>
        <c:marker val="1"/>
        <c:smooth val="0"/>
        <c:axId val="208098432"/>
        <c:axId val="145335040"/>
      </c:lineChart>
      <c:catAx>
        <c:axId val="208098432"/>
        <c:scaling>
          <c:orientation val="minMax"/>
        </c:scaling>
        <c:delete val="0"/>
        <c:axPos val="b"/>
        <c:title>
          <c:tx>
            <c:rich>
              <a:bodyPr rot="0" spcFirstLastPara="0" vertOverflow="ellipsis" vert="horz" wrap="square" anchor="ctr" anchorCtr="1"/>
              <a:lstStyle/>
              <a:p>
                <a:pPr>
                  <a:defRPr lang="zh-CN" sz="900" b="1" i="0" u="none" strike="noStrike" kern="1200" baseline="0">
                    <a:solidFill>
                      <a:schemeClr val="dk1">
                        <a:lumMod val="75000"/>
                        <a:lumOff val="25000"/>
                      </a:schemeClr>
                    </a:solidFill>
                    <a:latin typeface="+mn-lt"/>
                    <a:ea typeface="+mn-ea"/>
                    <a:cs typeface="+mn-cs"/>
                  </a:defRPr>
                </a:pPr>
                <a:r>
                  <a:rPr lang="zh-CN" altLang="en-US"/>
                  <a:t>厚度</a:t>
                </a:r>
                <a:r>
                  <a:rPr lang="en-US" altLang="zh-CN"/>
                  <a:t>/</a:t>
                </a:r>
                <a:r>
                  <a:rPr lang="en-US"/>
                  <a:t>mm</a:t>
                </a:r>
                <a:endParaRPr lang="en-US"/>
              </a:p>
            </c:rich>
          </c:tx>
          <c:layout>
            <c:manualLayout>
              <c:xMode val="edge"/>
              <c:yMode val="edge"/>
              <c:x val="0.83049663913962"/>
              <c:y val="0.846499452469105"/>
            </c:manualLayout>
          </c:layout>
          <c:overlay val="0"/>
          <c:spPr>
            <a:noFill/>
            <a:ln>
              <a:noFill/>
            </a:ln>
            <a:effectLst/>
          </c:sp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145335040"/>
        <c:crosses val="autoZero"/>
        <c:auto val="1"/>
        <c:lblAlgn val="ctr"/>
        <c:lblOffset val="100"/>
        <c:noMultiLvlLbl val="0"/>
      </c:catAx>
      <c:valAx>
        <c:axId val="145335040"/>
        <c:scaling>
          <c:orientation val="minMax"/>
          <c:max val="10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0" vertOverflow="ellipsis" vert="horz" wrap="square" anchor="ctr" anchorCtr="1"/>
              <a:lstStyle/>
              <a:p>
                <a:pPr>
                  <a:defRPr lang="zh-CN" sz="900" b="1" i="0" u="none" strike="noStrike" kern="1200" baseline="0">
                    <a:solidFill>
                      <a:schemeClr val="dk1">
                        <a:lumMod val="75000"/>
                        <a:lumOff val="25000"/>
                      </a:schemeClr>
                    </a:solidFill>
                    <a:latin typeface="+mn-lt"/>
                    <a:ea typeface="+mn-ea"/>
                    <a:cs typeface="+mn-cs"/>
                  </a:defRPr>
                </a:pPr>
                <a:r>
                  <a:rPr lang="zh-CN" altLang="en-US"/>
                  <a:t>允许的最高管电压</a:t>
                </a:r>
                <a:r>
                  <a:rPr lang="en-US" altLang="zh-CN"/>
                  <a:t>//</a:t>
                </a:r>
                <a:r>
                  <a:rPr lang="en-US"/>
                  <a:t>Kv</a:t>
                </a:r>
                <a:endParaRPr lang="en-US"/>
              </a:p>
            </c:rich>
          </c:tx>
          <c:layout>
            <c:manualLayout>
              <c:xMode val="edge"/>
              <c:yMode val="edge"/>
              <c:x val="0.0301491581844952"/>
              <c:y val="0.0511941388121187"/>
            </c:manualLayout>
          </c:layout>
          <c:overlay val="0"/>
          <c:spPr>
            <a:noFill/>
            <a:ln>
              <a:noFill/>
            </a:ln>
            <a:effectLst/>
          </c:spPr>
        </c:title>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208098432"/>
        <c:crosses val="autoZero"/>
        <c:crossBetween val="between"/>
        <c:majorUnit val="25"/>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02561E58E8D4E28B159D5F69617D4E6"/>
        <w:style w:val=""/>
        <w:category>
          <w:name w:val="常规"/>
          <w:gallery w:val="placeholder"/>
        </w:category>
        <w:types>
          <w:type w:val="bbPlcHdr"/>
        </w:types>
        <w:behaviors>
          <w:behavior w:val="content"/>
        </w:behaviors>
        <w:description w:val=""/>
        <w:guid w:val="{2BCDECE7-0CFD-4122-AC12-E62C9797523C}"/>
      </w:docPartPr>
      <w:docPartBody>
        <w:p w14:paraId="5F0ECDB8">
          <w:pPr>
            <w:pStyle w:val="5"/>
            <w:rPr>
              <w:rFonts w:hint="eastAsia"/>
            </w:rPr>
          </w:pPr>
          <w:r>
            <w:rPr>
              <w:rStyle w:val="4"/>
              <w:rFonts w:hint="eastAsia"/>
            </w:rPr>
            <w:t>单击或点击此处输入文字。</w:t>
          </w:r>
        </w:p>
      </w:docPartBody>
    </w:docPart>
    <w:docPart>
      <w:docPartPr>
        <w:name w:val="82874CD857744805AF8809A672F34351"/>
        <w:style w:val=""/>
        <w:category>
          <w:name w:val="常规"/>
          <w:gallery w:val="placeholder"/>
        </w:category>
        <w:types>
          <w:type w:val="bbPlcHdr"/>
        </w:types>
        <w:behaviors>
          <w:behavior w:val="content"/>
        </w:behaviors>
        <w:description w:val=""/>
        <w:guid w:val="{D912A412-FED4-471B-87F4-EB431680C1A3}"/>
      </w:docPartPr>
      <w:docPartBody>
        <w:p w14:paraId="23FBF7D9">
          <w:pPr>
            <w:pStyle w:val="6"/>
            <w:rPr>
              <w:rFonts w:hint="eastAsia"/>
            </w:rPr>
          </w:pPr>
          <w:r>
            <w:rPr>
              <w:rStyle w:val="4"/>
              <w:rFonts w:hint="eastAsia"/>
            </w:rPr>
            <w:t>选择一项。</w:t>
          </w:r>
        </w:p>
      </w:docPartBody>
    </w:docPart>
    <w:docPart>
      <w:docPartPr>
        <w:name w:val="DB1407132D774B26B19FD0F2B2D33755"/>
        <w:style w:val=""/>
        <w:category>
          <w:name w:val="常规"/>
          <w:gallery w:val="placeholder"/>
        </w:category>
        <w:types>
          <w:type w:val="bbPlcHdr"/>
        </w:types>
        <w:behaviors>
          <w:behavior w:val="content"/>
        </w:behaviors>
        <w:description w:val=""/>
        <w:guid w:val="{B4628F76-E98D-44F0-A535-014D2EBC5B47}"/>
      </w:docPartPr>
      <w:docPartBody>
        <w:p w14:paraId="1688DB1C">
          <w:pPr>
            <w:pStyle w:val="7"/>
            <w:rPr>
              <w:rFonts w:hint="eastAsia"/>
            </w:rPr>
          </w:pPr>
          <w:r>
            <w:rPr>
              <w:rStyle w:val="4"/>
              <w:rFonts w:hint="eastAsia"/>
            </w:rPr>
            <w:t>选择一项。</w:t>
          </w:r>
        </w:p>
      </w:docPartBody>
    </w:docPart>
    <w:docPart>
      <w:docPartPr>
        <w:name w:val="2E0A4C5A977E4F39B9950F60AC7F68E7"/>
        <w:style w:val=""/>
        <w:category>
          <w:name w:val="常规"/>
          <w:gallery w:val="placeholder"/>
        </w:category>
        <w:types>
          <w:type w:val="bbPlcHdr"/>
        </w:types>
        <w:behaviors>
          <w:behavior w:val="content"/>
        </w:behaviors>
        <w:description w:val=""/>
        <w:guid w:val="{F4C67CB1-9C40-44EB-8A08-348F17033642}"/>
      </w:docPartPr>
      <w:docPartBody>
        <w:p w14:paraId="766089F7">
          <w:pPr>
            <w:pStyle w:val="8"/>
            <w:rPr>
              <w:rFonts w:hint="eastAsia"/>
            </w:rPr>
          </w:pPr>
          <w:r>
            <w:rPr>
              <w:rStyle w:val="4"/>
              <w:rFonts w:hint="eastAsia"/>
            </w:rPr>
            <w:t>选择一项。</w:t>
          </w:r>
        </w:p>
      </w:docPartBody>
    </w:docPart>
    <w:docPart>
      <w:docPartPr>
        <w:name w:val="48CB34920A9F41ED8103998F0789D6F0"/>
        <w:style w:val=""/>
        <w:category>
          <w:name w:val="常规"/>
          <w:gallery w:val="placeholder"/>
        </w:category>
        <w:types>
          <w:type w:val="bbPlcHdr"/>
        </w:types>
        <w:behaviors>
          <w:behavior w:val="content"/>
        </w:behaviors>
        <w:description w:val=""/>
        <w:guid w:val="{D76C8806-6F4D-4070-BA13-EF96B217148C}"/>
      </w:docPartPr>
      <w:docPartBody>
        <w:p w14:paraId="14BFE819">
          <w:pPr>
            <w:pStyle w:val="9"/>
            <w:rPr>
              <w:rFonts w:hint="eastAsia"/>
            </w:rPr>
          </w:pPr>
          <w:r>
            <w:rPr>
              <w:rStyle w:val="4"/>
              <w:rFonts w:hint="eastAsia"/>
            </w:rPr>
            <w:t>选择一项。</w:t>
          </w:r>
        </w:p>
      </w:docPartBody>
    </w:docPart>
    <w:docPart>
      <w:docPartPr>
        <w:name w:val="0E8886513F5644FAB7F8D35A65E3AE0C"/>
        <w:style w:val=""/>
        <w:category>
          <w:name w:val="常规"/>
          <w:gallery w:val="placeholder"/>
        </w:category>
        <w:types>
          <w:type w:val="bbPlcHdr"/>
        </w:types>
        <w:behaviors>
          <w:behavior w:val="content"/>
        </w:behaviors>
        <w:description w:val=""/>
        <w:guid w:val="{F5AB0E58-CEB4-4A94-87A1-5D983C57B5E2}"/>
      </w:docPartPr>
      <w:docPartBody>
        <w:p w14:paraId="26F46842">
          <w:pPr>
            <w:pStyle w:val="10"/>
            <w:rPr>
              <w:rFonts w:hint="eastAsia"/>
            </w:rPr>
          </w:pPr>
          <w:r>
            <w:rPr>
              <w:rStyle w:val="4"/>
              <w:rFonts w:hint="eastAsia"/>
            </w:rPr>
            <w:t>选择一项。</w:t>
          </w:r>
        </w:p>
      </w:docPartBody>
    </w:docPart>
    <w:docPart>
      <w:docPartPr>
        <w:name w:val="B2E6D065153F40B885C6C8430F111465"/>
        <w:style w:val=""/>
        <w:category>
          <w:name w:val="常规"/>
          <w:gallery w:val="placeholder"/>
        </w:category>
        <w:types>
          <w:type w:val="bbPlcHdr"/>
        </w:types>
        <w:behaviors>
          <w:behavior w:val="content"/>
        </w:behaviors>
        <w:description w:val=""/>
        <w:guid w:val="{E1E7E072-A88B-4A67-BA31-8C36A77B14D8}"/>
      </w:docPartPr>
      <w:docPartBody>
        <w:p w14:paraId="53EEF666">
          <w:pPr>
            <w:pStyle w:val="11"/>
            <w:rPr>
              <w:rFonts w:hint="eastAsia"/>
            </w:rPr>
          </w:pPr>
          <w:r>
            <w:rPr>
              <w:rStyle w:val="4"/>
              <w:rFonts w:hint="eastAsia"/>
            </w:rPr>
            <w:t>选择一项。</w:t>
          </w:r>
        </w:p>
      </w:docPartBody>
    </w:docPart>
    <w:docPart>
      <w:docPartPr>
        <w:name w:val="4181C46E8B914E889DA575689030C7E4"/>
        <w:style w:val=""/>
        <w:category>
          <w:name w:val="常规"/>
          <w:gallery w:val="placeholder"/>
        </w:category>
        <w:types>
          <w:type w:val="bbPlcHdr"/>
        </w:types>
        <w:behaviors>
          <w:behavior w:val="content"/>
        </w:behaviors>
        <w:description w:val=""/>
        <w:guid w:val="{34E03F31-3FEF-4D8D-8CC7-32E48DAE712B}"/>
      </w:docPartPr>
      <w:docPartBody>
        <w:p w14:paraId="3338CFA2">
          <w:pPr>
            <w:pStyle w:val="12"/>
            <w:rPr>
              <w:rFonts w:hint="eastAsia"/>
            </w:rPr>
          </w:pPr>
          <w:r>
            <w:rPr>
              <w:rStyle w:val="4"/>
              <w:rFonts w:hint="eastAsia"/>
            </w:rPr>
            <w:t>选择一项。</w:t>
          </w:r>
        </w:p>
      </w:docPartBody>
    </w:docPart>
    <w:docPart>
      <w:docPartPr>
        <w:name w:val="0A98EC07B4DE49DFA733634E0CEB7AF6"/>
        <w:style w:val=""/>
        <w:category>
          <w:name w:val="常规"/>
          <w:gallery w:val="placeholder"/>
        </w:category>
        <w:types>
          <w:type w:val="bbPlcHdr"/>
        </w:types>
        <w:behaviors>
          <w:behavior w:val="content"/>
        </w:behaviors>
        <w:description w:val=""/>
        <w:guid w:val="{C49A8797-1269-4A28-A889-3A754EE26421}"/>
      </w:docPartPr>
      <w:docPartBody>
        <w:p w14:paraId="64F2E2E1">
          <w:pPr>
            <w:pStyle w:val="13"/>
            <w:rPr>
              <w:rFonts w:hint="eastAsia"/>
            </w:rPr>
          </w:pPr>
          <w:r>
            <w:rPr>
              <w:rStyle w:val="4"/>
              <w:rFonts w:hint="eastAsia"/>
            </w:rPr>
            <w:t>选择一项。</w:t>
          </w:r>
        </w:p>
      </w:docPartBody>
    </w:docPart>
    <w:docPart>
      <w:docPartPr>
        <w:name w:val="65B4BCA1256F4B8FAEE4AB2FC5456D47"/>
        <w:style w:val=""/>
        <w:category>
          <w:name w:val="常规"/>
          <w:gallery w:val="placeholder"/>
        </w:category>
        <w:types>
          <w:type w:val="bbPlcHdr"/>
        </w:types>
        <w:behaviors>
          <w:behavior w:val="content"/>
        </w:behaviors>
        <w:description w:val=""/>
        <w:guid w:val="{A26870BD-7539-4EFE-8EF0-9EDF0C2445DB}"/>
      </w:docPartPr>
      <w:docPartBody>
        <w:p w14:paraId="75A9E6C8">
          <w:pPr>
            <w:pStyle w:val="14"/>
            <w:rPr>
              <w:rFonts w:hint="eastAsia"/>
            </w:rPr>
          </w:pPr>
          <w:r>
            <w:rPr>
              <w:rStyle w:val="4"/>
              <w:rFonts w:hint="eastAsia"/>
            </w:rPr>
            <w:t>选择一项。</w:t>
          </w:r>
        </w:p>
      </w:docPartBody>
    </w:docPart>
    <w:docPart>
      <w:docPartPr>
        <w:name w:val="17D7CA6E36BC479BB99ECFF292EE7AFA"/>
        <w:style w:val=""/>
        <w:category>
          <w:name w:val="常规"/>
          <w:gallery w:val="placeholder"/>
        </w:category>
        <w:types>
          <w:type w:val="bbPlcHdr"/>
        </w:types>
        <w:behaviors>
          <w:behavior w:val="content"/>
        </w:behaviors>
        <w:description w:val=""/>
        <w:guid w:val="{DCDE0CAE-67CE-4C94-9377-931AC70FEB46}"/>
      </w:docPartPr>
      <w:docPartBody>
        <w:p w14:paraId="609584B2">
          <w:pPr>
            <w:pStyle w:val="15"/>
            <w:rPr>
              <w:rFonts w:hint="eastAsia"/>
            </w:rPr>
          </w:pPr>
          <w:r>
            <w:rPr>
              <w:rStyle w:val="4"/>
              <w:rFonts w:hint="eastAsia"/>
            </w:rPr>
            <w:t>选择一项。</w:t>
          </w:r>
        </w:p>
      </w:docPartBody>
    </w:docPart>
    <w:docPart>
      <w:docPartPr>
        <w:name w:val="548F3011F800465F8E6E752C57EC0955"/>
        <w:style w:val=""/>
        <w:category>
          <w:name w:val="常规"/>
          <w:gallery w:val="placeholder"/>
        </w:category>
        <w:types>
          <w:type w:val="bbPlcHdr"/>
        </w:types>
        <w:behaviors>
          <w:behavior w:val="content"/>
        </w:behaviors>
        <w:description w:val=""/>
        <w:guid w:val="{B09ADC7D-A7AF-4BF0-867F-24D9BEECD2E0}"/>
      </w:docPartPr>
      <w:docPartBody>
        <w:p w14:paraId="3D2B2FBA">
          <w:pPr>
            <w:pStyle w:val="16"/>
            <w:rPr>
              <w:rFonts w:hint="eastAsia"/>
            </w:rPr>
          </w:pPr>
          <w:r>
            <w:rPr>
              <w:rStyle w:val="4"/>
              <w:rFonts w:hint="eastAsia"/>
            </w:rPr>
            <w:t>选择一项。</w:t>
          </w:r>
        </w:p>
      </w:docPartBody>
    </w:docPart>
    <w:docPart>
      <w:docPartPr>
        <w:name w:val="0510428F232142C5834868D3E58D9091"/>
        <w:style w:val=""/>
        <w:category>
          <w:name w:val="常规"/>
          <w:gallery w:val="placeholder"/>
        </w:category>
        <w:types>
          <w:type w:val="bbPlcHdr"/>
        </w:types>
        <w:behaviors>
          <w:behavior w:val="content"/>
        </w:behaviors>
        <w:description w:val=""/>
        <w:guid w:val="{6337E626-5422-4BA9-B15C-695EA85AB4A6}"/>
      </w:docPartPr>
      <w:docPartBody>
        <w:p w14:paraId="367B8431">
          <w:pPr>
            <w:pStyle w:val="17"/>
            <w:rPr>
              <w:rFonts w:hint="eastAsia"/>
            </w:rPr>
          </w:pPr>
          <w:r>
            <w:rPr>
              <w:rStyle w:val="4"/>
              <w:rFonts w:hint="eastAsia"/>
            </w:rPr>
            <w:t>选择一项。</w:t>
          </w:r>
        </w:p>
      </w:docPartBody>
    </w:docPart>
    <w:docPart>
      <w:docPartPr>
        <w:name w:val="1A192D37AC7E4A08AC4A605A3CD2BAFF"/>
        <w:style w:val=""/>
        <w:category>
          <w:name w:val="常规"/>
          <w:gallery w:val="placeholder"/>
        </w:category>
        <w:types>
          <w:type w:val="bbPlcHdr"/>
        </w:types>
        <w:behaviors>
          <w:behavior w:val="content"/>
        </w:behaviors>
        <w:description w:val=""/>
        <w:guid w:val="{0B135DC0-39E9-48BD-B781-57EE6B2DCEA0}"/>
      </w:docPartPr>
      <w:docPartBody>
        <w:p w14:paraId="77D6D039">
          <w:pPr>
            <w:pStyle w:val="18"/>
            <w:rPr>
              <w:rFonts w:hint="eastAsia"/>
            </w:rPr>
          </w:pPr>
          <w:r>
            <w:rPr>
              <w:rStyle w:val="4"/>
              <w:rFonts w:hint="eastAsia"/>
            </w:rPr>
            <w:t>选择一项。</w:t>
          </w:r>
        </w:p>
      </w:docPartBody>
    </w:docPart>
    <w:docPart>
      <w:docPartPr>
        <w:name w:val="8966DA15AB154A17B7AB1909A3DDB41D"/>
        <w:style w:val=""/>
        <w:category>
          <w:name w:val="常规"/>
          <w:gallery w:val="placeholder"/>
        </w:category>
        <w:types>
          <w:type w:val="bbPlcHdr"/>
        </w:types>
        <w:behaviors>
          <w:behavior w:val="content"/>
        </w:behaviors>
        <w:description w:val=""/>
        <w:guid w:val="{C59550E0-96A7-495F-98D9-EF99B4F9D2BC}"/>
      </w:docPartPr>
      <w:docPartBody>
        <w:p w14:paraId="4AC64875">
          <w:pPr>
            <w:pStyle w:val="19"/>
            <w:rPr>
              <w:rFonts w:hint="eastAsia"/>
            </w:rPr>
          </w:pPr>
          <w:r>
            <w:rPr>
              <w:rStyle w:val="4"/>
              <w:rFonts w:hint="eastAsia"/>
            </w:rPr>
            <w:t>选择一项。</w:t>
          </w:r>
        </w:p>
      </w:docPartBody>
    </w:docPart>
    <w:docPart>
      <w:docPartPr>
        <w:name w:val="A694BB6C36D24FEFB986C6ED6570774F"/>
        <w:style w:val=""/>
        <w:category>
          <w:name w:val="常规"/>
          <w:gallery w:val="placeholder"/>
        </w:category>
        <w:types>
          <w:type w:val="bbPlcHdr"/>
        </w:types>
        <w:behaviors>
          <w:behavior w:val="content"/>
        </w:behaviors>
        <w:description w:val=""/>
        <w:guid w:val="{573957F5-E716-4350-B265-064171CDB101}"/>
      </w:docPartPr>
      <w:docPartBody>
        <w:p w14:paraId="083A54D4">
          <w:pPr>
            <w:pStyle w:val="20"/>
            <w:rPr>
              <w:rFonts w:hint="eastAsia"/>
            </w:rPr>
          </w:pPr>
          <w:r>
            <w:rPr>
              <w:rStyle w:val="4"/>
              <w:rFonts w:hint="eastAsia"/>
            </w:rPr>
            <w:t>选择一项。</w:t>
          </w:r>
        </w:p>
      </w:docPartBody>
    </w:docPart>
    <w:docPart>
      <w:docPartPr>
        <w:name w:val="91E62F32A4224D469CC4402BFD460972"/>
        <w:style w:val=""/>
        <w:category>
          <w:name w:val="常规"/>
          <w:gallery w:val="placeholder"/>
        </w:category>
        <w:types>
          <w:type w:val="bbPlcHdr"/>
        </w:types>
        <w:behaviors>
          <w:behavior w:val="content"/>
        </w:behaviors>
        <w:description w:val=""/>
        <w:guid w:val="{134193AA-E41F-4C3A-AE61-10E33A59890D}"/>
      </w:docPartPr>
      <w:docPartBody>
        <w:p w14:paraId="5C30DA73">
          <w:pPr>
            <w:pStyle w:val="21"/>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1825"/>
    <w:rsid w:val="001472AF"/>
    <w:rsid w:val="001C3F2E"/>
    <w:rsid w:val="001D0B18"/>
    <w:rsid w:val="0026579C"/>
    <w:rsid w:val="003F5222"/>
    <w:rsid w:val="004F0857"/>
    <w:rsid w:val="005246B3"/>
    <w:rsid w:val="005809CE"/>
    <w:rsid w:val="00661B8D"/>
    <w:rsid w:val="0069334D"/>
    <w:rsid w:val="006B1A70"/>
    <w:rsid w:val="006C1563"/>
    <w:rsid w:val="00720842"/>
    <w:rsid w:val="007575E1"/>
    <w:rsid w:val="00781769"/>
    <w:rsid w:val="007C6293"/>
    <w:rsid w:val="008532C5"/>
    <w:rsid w:val="008B12E8"/>
    <w:rsid w:val="008C1090"/>
    <w:rsid w:val="009C1A2F"/>
    <w:rsid w:val="00B97176"/>
    <w:rsid w:val="00C521CE"/>
    <w:rsid w:val="00C763FD"/>
    <w:rsid w:val="00D5156D"/>
    <w:rsid w:val="00DF39F8"/>
    <w:rsid w:val="00EA1825"/>
    <w:rsid w:val="00F17605"/>
    <w:rsid w:val="00F2528F"/>
    <w:rsid w:val="00F857E4"/>
    <w:rsid w:val="00FC51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D02561E58E8D4E28B159D5F69617D4E6"/>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82874CD857744805AF8809A672F3435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DB1407132D774B26B19FD0F2B2D3375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8">
    <w:name w:val="2E0A4C5A977E4F39B9950F60AC7F68E7"/>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9">
    <w:name w:val="48CB34920A9F41ED8103998F0789D6F0"/>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0">
    <w:name w:val="0E8886513F5644FAB7F8D35A65E3AE0C"/>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1">
    <w:name w:val="B2E6D065153F40B885C6C8430F111465"/>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2">
    <w:name w:val="4181C46E8B914E889DA575689030C7E4"/>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3">
    <w:name w:val="0A98EC07B4DE49DFA733634E0CEB7AF6"/>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4">
    <w:name w:val="65B4BCA1256F4B8FAEE4AB2FC5456D47"/>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5">
    <w:name w:val="17D7CA6E36BC479BB99ECFF292EE7AF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6">
    <w:name w:val="548F3011F800465F8E6E752C57EC095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7">
    <w:name w:val="0510428F232142C5834868D3E58D9091"/>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8">
    <w:name w:val="1A192D37AC7E4A08AC4A605A3CD2BAF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9">
    <w:name w:val="8966DA15AB154A17B7AB1909A3DDB41D"/>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0">
    <w:name w:val="A694BB6C36D24FEFB986C6ED6570774F"/>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1">
    <w:name w:val="91E62F32A4224D469CC4402BFD46097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F03465-9310-430F-A8A0-DFC80D2CA8A6}">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58</Pages>
  <Words>34617</Words>
  <Characters>37299</Characters>
  <Lines>290</Lines>
  <Paragraphs>81</Paragraphs>
  <TotalTime>46</TotalTime>
  <ScaleCrop>false</ScaleCrop>
  <LinksUpToDate>false</LinksUpToDate>
  <CharactersWithSpaces>37725</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2024-09-19T13:01:00Z</dcterms:created>
  <dc:creator>217-2</dc:creator>
  <dc:description>&lt;config cover="true" show_menu="true" version="1.0.0" doctype="SDKXY"&gt;_x000d_
&lt;/config&gt;</dc:description>
  <cp:lastModifiedBy>吴肖</cp:lastModifiedBy>
  <cp:lastPrinted>2020-08-30T10:00:00Z</cp:lastPrinted>
  <dcterms:modified xsi:type="dcterms:W3CDTF">2024-10-28T08:57:20Z</dcterms:modified>
  <dc:title>地方标准</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2052-12.1.0.18276</vt:lpwstr>
  </property>
  <property fmtid="{D5CDD505-2E9C-101B-9397-08002B2CF9AE}" pid="15" name="ICV">
    <vt:lpwstr>BACFDF332D034074BBA513A6602982AB</vt:lpwstr>
  </property>
</Properties>
</file>